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Endocrine Surgery | PMC12478719</w:t>
      </w:r>
    </w:p>
    <w:p>
      <w:pPr>
        <w:jc w:val="center"/>
      </w:pPr>
      <w:r>
        <w:rPr>
          <w:color w:val="888888"/>
          <w:sz w:val="20"/>
        </w:rPr>
        <w:t>A MEN-2A Case Developing Transient Adrenal Insufficiency after Unilateral Pheochromocytoma Surgery.</w:t>
      </w:r>
    </w:p>
    <w:p/>
    <w:p>
      <w:pPr>
        <w:pStyle w:val="Heading2"/>
      </w:pPr>
      <w:r>
        <w:t>Question 1: Intraoperative Decision-Making</w:t>
      </w:r>
    </w:p>
    <w:p>
      <w:r>
        <w:rPr>
          <w:b/>
          <w:sz w:val="22"/>
        </w:rPr>
        <w:t>Clinical Vignette</w:t>
      </w:r>
    </w:p>
    <w:p>
      <w:r>
        <w:t>A 58-year-old man with coronary artery disease, 1 year of diabetes requiring ~70 units/day of basal–bolus insulin, and resistant hypertension (200/110 mmHg despite triple therapy) is found to have markedly elevated 24-hour urine metanephrines and normetanephrines, consistent with a catecholamine-secreting tumor. Imaging shows a well-circumscribed ~9–10 cm left adrenal mass without invasion or metastasis. He undergoes planned resection of this adrenal catecholamine-secreting mass after preoperative alpha-blockade (doxazosin), adjunct beta-blockade as needed, and aggressive volume expansion (isotonic saline 3 L/day for 3 days). Within hours after tumor removal (postoperative day 0–1), he develops persistent hypotension refractory to continued isotonic fluids, with fatigue and nausea. His glucose rapidly normalizes and insulin is stopped. Two early-morning serum cortisol values obtained soon after surgery are low (4.75 and 3.81 µg/dL), despite a previously normal basal cortisol and a normal 1-mg dexamethasone suppression test preoperatively. There is concern for acute adrenal insufficiency contributing to shock, but other causes of postoperative hypotension (bleeding, sepsis, cardiogenic shock, residual vasoplegia after catecholamine withdrawal) must also be considered and excluded.</w:t>
      </w:r>
    </w:p>
    <w:p>
      <w:r>
        <w:rPr>
          <w:b/>
          <w:sz w:val="22"/>
        </w:rPr>
        <w:t>Question</w:t>
      </w:r>
    </w:p>
    <w:p>
      <w:r>
        <w:t>In this setting of refractory hypotension with suspected acute adrenal insufficiency after resection of a large catecholamine-secreting adrenal mass, what immediate steroid treatment should be given, what confirmatory testing/monitoring should be obtained without delaying therapy, and what key pitfalls must be avoided?</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58-year-old man is evaluated in the early postoperative period after major adrenal surgery performed for a large catecholamine-secreting adrenal tumor. His medical history includes resistant hypertension, coronary artery disease, and insulin-treated diabetes mellitus. Over the first 24–48 hours after surgery, he develops persistent hypotension (e.g., systolic blood pressure 80–90 mmHg) with dizziness, profound fatigue, and nausea. He has no fever, no chest pain, and no overt bleeding; surgical drain output is minimal and his hemoglobin is unchanged. Despite continued aggressive isotonic crystalloid administration, his blood pressure remains low and he requires escalating vasopressor support. Concurrently, his insulin needs drop dramatically; insulin is withheld and capillary glucose values remain in the normal range without hypoglycemia treatment. Basic metabolic panel shows mild hyponatremia and borderline hyperkalemia. Two separate early-morning serum cortisol measurements are low at 4.75 µg/dL and 3.81 µg/dL. The team is concerned about a postoperative endocrine cause of shock rather than hypovolemia or sepsis.</w:t>
      </w:r>
    </w:p>
    <w:p>
      <w:r>
        <w:rPr>
          <w:b/>
          <w:sz w:val="22"/>
        </w:rPr>
        <w:t>Question</w:t>
      </w:r>
    </w:p>
    <w:p>
      <w:r>
        <w:t>What is the most likely cause of this postoperative complication, and what immediate diagnostic and management steps should be taken, including whether to administer empiric stress-dose glucocorticoids?</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