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Gynecology | PMC4516716</w:t>
      </w:r>
    </w:p>
    <w:p>
      <w:pPr>
        <w:jc w:val="center"/>
      </w:pPr>
      <w:r>
        <w:rPr>
          <w:color w:val="888888"/>
          <w:sz w:val="20"/>
        </w:rPr>
        <w:t>Endometrial Cancer: Hidden Pathology in a Patient with Abnormal Uterine Bleeding and Known Leiomyoma.</w:t>
      </w:r>
    </w:p>
    <w:p/>
    <w:p>
      <w:pPr>
        <w:pStyle w:val="Heading2"/>
      </w:pPr>
      <w:r>
        <w:t>Question 1: Intraoperative Decision-Making</w:t>
      </w:r>
    </w:p>
    <w:p>
      <w:r>
        <w:rPr>
          <w:b/>
          <w:sz w:val="22"/>
        </w:rPr>
        <w:t>Clinical Vignette</w:t>
      </w:r>
    </w:p>
    <w:p>
      <w:r>
        <w:t>A 41-year-old nulliparous woman with a 7-year history of symptomatic uterine leiomyomas presents with persistent abnormal uterine bleeding and pelvic pressure. Her cycles are irregular (19–90 days) with prolonged bleeding episodes (14–27 days) and dysmenorrhea. She is not sexually active. Pelvic exam reveals a large mass prolapsing through the cervix into the upper vagina; bimanual exam suggests a pelvic-filling uterine mass. Transvaginal ultrasound shows an ~8 cm heterogeneous posterior lower uterine segment/submucosal leiomyoma with calcifications plus a 3 cm leiomyoma; endometrium measures 1.5 cm; ovaries are normal. MRI confirms a bilobed, partially mineralized pedunculated submucosal leiomyoma ~9–10 cm prolapsing into the cervical canal and upper vagina. Office endometrial biopsy and saline sonohysterography are not technically feasible due to complete cervical obstruction by the mass, so no preoperative endometrial tissue diagnosis is available. She is taken to the operating room for definitive surgical management of bleeding and the obstructing prolapsed mass. Intraoperatively, the cervix is markedly stretched and effaced by the pedunculated tumor, the cervical canal and lower uterine segment anatomy are severely distorted, exposure is limited by the mass occupying the canal and upper vagina, and the usual planes for safely approaching the uterine vessels and vaginal cuff are difficult to identify; the ureters may be medially displaced, increasing urinary tract injury risk.</w:t>
      </w:r>
    </w:p>
    <w:p>
      <w:r>
        <w:rPr>
          <w:b/>
          <w:sz w:val="22"/>
        </w:rPr>
        <w:t>Question</w:t>
      </w:r>
    </w:p>
    <w:p>
      <w:r>
        <w:t>Given this intraoperative anatomy, how should you decide on the operative strategy and anatomic approach to safely complete uterine removal, including whether to debulk/remove the prolapsed mass first, how to open the paracervical/parametrial spaces to obtain continuous visualization of the ureter along its course, and what is the most common technical pitfall that leads to ureteral or bladder injury in this situation?</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41-year-old nulliparous woman undergoes major gynecologic surgery for a very large prolapsing submucosal uterine mass that had been causing years of heavy irregular bleeding and marked distortion/effacement of the cervix and lower uterine segment. Within 24–72 hours after surgery, she develops new oliguria and left flank/lower back pain with low-grade fever. Her abdomen is mildly distended without peritonitis. The surgical drain output increases and becomes clear and straw-colored; the nursing staff also notes intermittent leakage of clear fluid from the vagina. Serum creatinine rises from baseline, and leukocytosis is present. Urinalysis shows no significant bacteriuria. The Foley catheter is patent but urine output remains low despite adequate IV fluids. On exam, the vaginal cuff appears intact, but there is persistent watery discharge. Given the distorted cervicovaginal anatomy from the preexisting prolapsing mass and the close relationship of the distal ureters to the paracervical tissues, an iatrogenic urinary tract injury (ureteral obstruction/thermal injury/transection or bladder injury with leak) is suspected. The team must rapidly localize the source of the leak and relieve any obstruction to prevent renal damage and sepsis.</w:t>
      </w:r>
    </w:p>
    <w:p>
      <w:r>
        <w:rPr>
          <w:b/>
          <w:sz w:val="22"/>
        </w:rPr>
        <w:t>Question</w:t>
      </w:r>
    </w:p>
    <w:p>
      <w:r>
        <w:t>In this postoperative setting, what is the most likely mechanism and high-risk step leading to urinary tract injury, and what stepwise diagnostic workup and evidence-based management should be performed (including when observation is appropriate, when bladder drainage/ureteral stenting is indicated, and when surgical repair is required), and what practical preventive strategies can reduce risk in similar cases?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