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Hand Surgery | PMC3987618</w:t>
      </w:r>
    </w:p>
    <w:p>
      <w:pPr>
        <w:jc w:val="center"/>
      </w:pPr>
      <w:r>
        <w:rPr>
          <w:color w:val="888888"/>
          <w:sz w:val="20"/>
        </w:rPr>
        <w:t>Acute double flexor tendon ruptures following injection of collagenase clostridium histolyticum (Xiapex) for Dupuytren's contracture.</w:t>
      </w:r>
    </w:p>
    <w:p/>
    <w:p>
      <w:pPr>
        <w:pStyle w:val="Heading2"/>
      </w:pPr>
      <w:r>
        <w:t>Question 1: Intraoperative Decision-Making</w:t>
      </w:r>
    </w:p>
    <w:p>
      <w:r>
        <w:rPr>
          <w:b/>
          <w:sz w:val="22"/>
        </w:rPr>
        <w:t>Clinical Vignette</w:t>
      </w:r>
    </w:p>
    <w:p>
      <w:r>
        <w:t>A 42-year-old right-hand–dominant man underwent a single collagenase clostridium histolyticum injection 48 hours ago for a symptomatic Dupuytren’s flexion contracture affecting the little finger metacarpophalangeal joint, with a thick palpable palmar cord in line with the digit. Within 24 hours of the injection he developed sudden inability to actively flex the little finger with minimal pain and new weakness during gripping. On preoperative assessment the skin was intact without open wounds, passive motion of the little finger joints was relatively preserved, and neurovascular examination was normal with a warm, well-perfused fingertip and intact sensibility. Because of the acute loss of active flexion after enzymatic injection, he is taken to theatre for urgent surgical exploration. Intraoperatively, deep to the injected cord, you encounter inflamed, friable soft tissue and pathologic Dupuytren cord. Both flexor digitorum superficialis and flexor digitorum profundus to the little finger are completely ruptured with fresh-appearing tendon ends at the level of the diseased cord, within the flexor sheath zone relevant to tendon glide.</w:t>
      </w:r>
    </w:p>
    <w:p>
      <w:r>
        <w:rPr>
          <w:b/>
          <w:sz w:val="22"/>
        </w:rPr>
        <w:t>Question</w:t>
      </w:r>
    </w:p>
    <w:p>
      <w:r>
        <w:t>Based on these intraoperative findings, what is your operative plan: will you attempt immediate primary repair of one or both tendons versus proceed with a staged reconstruction, and how will you manage the diseased cord and inflamed soft tissue in the repair zone? What key technical steps will you use to maximize repair strength and tendon glide, and what specific pitfalls increase the risks of gapping, adhesions, or rerupture?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44-year-old man returns to the hand clinic 36 hours after treatment of a palmar fibromatosis–related contracture of the little finger using a minimally invasive, enzyme-based cord weakening technique performed in the outpatient setting. He reports a sudden “snap” while using his hand at home, followed immediately by inability to actively bend the little finger. Pain is mild and there is no numbness or color change. On examination, the skin is intact with localized swelling and bruising in the palm along the line of the little-finger cord. The little finger rests relatively extended compared with pre-treatment position. Active flexion is absent at the distal interphalangeal joint and markedly reduced at the proximal interphalangeal joint, while passive motion at both joints is preserved. He cannot make a full fist and grip strength is significantly decreased. Tenodesis effect is diminished in the little finger compared with adjacent digits. Capillary refill is brisk and two-point discrimination is normal. There are no signs of infection or compartment syndrome. The treating team is concerned about an acute postoperative complication affecting the flexor tendon system and must determine the likely cause and the most appropriate confirmatory evaluation and management in the first 24–48 hours.</w:t>
      </w:r>
    </w:p>
    <w:p>
      <w:r>
        <w:rPr>
          <w:b/>
          <w:sz w:val="22"/>
        </w:rPr>
        <w:t>Question</w:t>
      </w:r>
    </w:p>
    <w:p>
      <w:r>
        <w:t>What is the most likely postoperative complication causing this acute loss of active little-finger flexion, and how should the diagnosis be confirmed and managed within the first 24–48 hours (including rehabilitation considerations and prevention strategies for future treatments)?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