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Head and Neck Surgery | PMC9309748</w:t>
      </w:r>
    </w:p>
    <w:p>
      <w:pPr>
        <w:jc w:val="center"/>
      </w:pPr>
      <w:r>
        <w:rPr>
          <w:color w:val="888888"/>
          <w:sz w:val="20"/>
        </w:rPr>
        <w:t>Intraoperative recurrent laryngeal nerve monitoring in unconventional thyroid surgery.</w:t>
      </w:r>
    </w:p>
    <w:p/>
    <w:p>
      <w:pPr>
        <w:pStyle w:val="Heading2"/>
      </w:pPr>
      <w:r>
        <w:t>Question 1: Intraoperative Decision-Making</w:t>
      </w:r>
    </w:p>
    <w:p>
      <w:r>
        <w:rPr>
          <w:b/>
          <w:sz w:val="22"/>
        </w:rPr>
        <w:t>Clinical Vignette</w:t>
      </w:r>
    </w:p>
    <w:p>
      <w:r>
        <w:t>A 72-year-old man previously underwent open partial horizontal laryngectomy extended to the left arytenoid for laryngeal squamous cell carcinoma, with left selective neck dissection (levels IIa–III–IV) and a temporary tracheostomy. He has since been decannulated and has good swallowing/voice function, relying on a single remaining functional crico-arytenoid unit. Final laryngeal pathology was pT2N0cM0 with no squamous nodal metastases. However, one level III lymph node contained an incidental 1.8-mm papillary thyroid carcinoma metastasis (thyroglobulin+ and TTF1+), classifying him as pN1b differentiated thyroid carcinoma. He is asymptomatic from a thyroid standpoint; contrast-enhanced neck CT shows no focal thyroid lesion and no radiographic adenopathy. After multidisciplinary discussion, he is taken to the operating room for definitive oncologic thyroid/neck surgery. On re-entry, the thyroid bed is densely fibrotic with distorted landmarks from prior laryngeal surgery and neck dissection. In the inferior tracheoesophageal groove, you identify a structure consistent with the right recurrent laryngeal nerve, but as it courses cranially toward the laryngeal inlet near the crico-arytenoid region, scarring makes further dissection hazardous.</w:t>
      </w:r>
    </w:p>
    <w:p>
      <w:r>
        <w:rPr>
          <w:b/>
          <w:sz w:val="22"/>
        </w:rPr>
        <w:t>Question</w:t>
      </w:r>
    </w:p>
    <w:p>
      <w:r>
        <w:t>In this setting where injury to the remaining functional recurrent laryngeal nerve would be catastrophic, what intraoperative strategy should you use to confirm the nerve’s identity and protect it while proceeding with the planned oncologic resection, including the critical technical steps (e.g., exposure, dissection plane, neuromonitoring approach) and the key pitfalls to avoid (traction, thermal injury, and misidentification)?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72-year-old man is evaluated in the post-anesthesia care unit a few hours after reoperative surgery in the central neck for incidentally discovered metastatic differentiated thyroid carcinoma. He previously underwent extensive laryngeal cancer surgery with altered laryngeal anatomy and now has only one functional crico-arytenoid unit; he had been successfully decannulated months earlier and was breathing and swallowing adequately preoperatively. In the recovery unit he develops progressive inspiratory stridor, dyspnea at rest, weak/ineffective cough, and a breathy, barely audible voice. Oxygen saturation is 90% on supplemental oxygen, respiratory rate is 28/min, and he is using accessory muscles. He is anxious and cannot tolerate lying flat. Examination shows suprasternal retractions without neck hematoma; the surgical drain has minimal output. Flexible fiberoptic laryngoscopy demonstrates severely reduced mobility of the only functioning vocal fold with the glottic airway narrowed to a slit; there is no obvious supraglottic edema or pooling of secretions. Arterial blood gas shows rising PaCO2 compared with baseline. The team must rapidly determine the most likely cause of this airway deterioration and choose definitive management.</w:t>
      </w:r>
    </w:p>
    <w:p>
      <w:r>
        <w:rPr>
          <w:b/>
          <w:sz w:val="22"/>
        </w:rPr>
        <w:t>Question</w:t>
      </w:r>
    </w:p>
    <w:p>
      <w:r>
        <w:t>What is the most likely postoperative complication causing this patient’s acute airway compromise, and what is the most appropriate immediate management?</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