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Hernia Surgery | PMC3689378</w:t>
      </w:r>
    </w:p>
    <w:p>
      <w:pPr>
        <w:jc w:val="center"/>
      </w:pPr>
      <w:r>
        <w:rPr>
          <w:color w:val="888888"/>
          <w:sz w:val="20"/>
        </w:rPr>
        <w:t>Bladder erosion and stone as rare late complication of laparoscopic hernia meshplasty: is endoscopic management an option?</w:t>
      </w:r>
    </w:p>
    <w:p/>
    <w:p>
      <w:pPr>
        <w:pStyle w:val="Heading2"/>
      </w:pPr>
      <w:r>
        <w:t>Question 1: Intraoperative Decision-Making</w:t>
      </w:r>
    </w:p>
    <w:p>
      <w:r>
        <w:rPr>
          <w:b/>
          <w:sz w:val="22"/>
        </w:rPr>
        <w:t>Clinical Vignette</w:t>
      </w:r>
    </w:p>
    <w:p>
      <w:r>
        <w:t>A 65-year-old man with long-standing lower urinary tract symptoms consistent with bladder outlet obstruction is brought to the operating room after evaluation revealed a fixed intravesical lesion. He has no fever, dysuria, or hematuria. Sixteen years ago he underwent laparoscopic inguinal hernia repair with synthetic mesh. Preoperative cystoscopy and imaging demonstrated a “hanging” calculus adherent to the anterior bladder wall, suspicious for a stone formed on a fixed nidus rather than a free-floating bladder stone. Intraoperatively, cystoscopy confirms a large stone firmly attached to the anterior wall. Lithotripsy fragments the calculus and exposes a segment of synthetic mesh protruding into the bladder lumen. After clearing the encrustation, multiple sharp mesh fibers remain visible and appear tethered within the bladder wall rather than freely mobile; the surrounding mucosa is inflamed and bleeds easily with manipulation. Gentle traction on the mesh transmits movement to the bladder wall, raising concern for deeper incorporation and risk of perforation or a persistent erosion/fistula if forcibly removed. The prostate is markedly enlarged, and continuous irrigation is required for visibility, with concern for bleeding and fluid absorption if operative time is prolonged.</w:t>
      </w:r>
    </w:p>
    <w:p>
      <w:r>
        <w:rPr>
          <w:b/>
          <w:sz w:val="22"/>
        </w:rPr>
        <w:t>Question</w:t>
      </w:r>
    </w:p>
    <w:p>
      <w:r>
        <w:t>Based on the intraoperative finding of bladder stone encrustation on mesh with sharp fibers suggesting deep bladder-wall incorporation, how should the surgeon decide between purely endoscopic intravesical trimming/extraction, conversion to a formal surgical bladder repair/partial cystectomy (with or without a combined approach), or staging the operation given the concomitant obstructing prostate, and what key technical steps are required to manage the erosion site while minimizing perforation, bleeding, and irrigation-related complications?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65-year-old man is seen in the recovery area several hours after transurethral endoscopic treatment for a bladder stone that was fixed to the anterior bladder wall. He has a remote history of synthetic mesh placement for groin hernia repair. Preoperatively he reported long-standing lower urinary tract symptoms consistent with bladder outlet obstruction but no fever or dysuria. Intraoperatively, the stone was fragmented and a segment of synthetic mesh was visualized protruding through the anterior bladder wall with surrounding erythema. Soon after surgery, he develops increasing suprapubic pain and an urgent sensation to void despite continuous bladder drainage. Urine output through the catheter drops and becomes increasingly blood-tinged. He becomes tachycardic and mildly hypotensive. His lower abdomen is distended and tender without peritonitis. Laboratory testing shows a rising creatinine compared with baseline and a mild leukocytosis. Bedside bladder ultrasound shows poor decompression despite catheter patency, with adjacent fluid tracking in the prevesical (extraperitoneal) space. The team is concerned about a bladder wall defect related to manipulation of the embedded foreign material and wants to prevent ongoing urine leakage, infection, and recurrent stone formation.</w:t>
      </w:r>
    </w:p>
    <w:p>
      <w:r>
        <w:rPr>
          <w:b/>
          <w:sz w:val="22"/>
        </w:rPr>
        <w:t>Question</w:t>
      </w:r>
    </w:p>
    <w:p>
      <w:r>
        <w:t>In this postoperative scenario, what is the most likely mechanism of injury and key postoperative complication(s), what early clinical and imaging criteria should prompt diagnosis, and what stepwise evidence-based management should be initiated (including thresholds to escalate to operative repair) to reduce morbidity and prevent recurrence?</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