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Neurosurgery | PMC10172011</w:t>
      </w:r>
    </w:p>
    <w:p>
      <w:pPr>
        <w:jc w:val="center"/>
      </w:pPr>
      <w:r>
        <w:rPr>
          <w:color w:val="888888"/>
          <w:sz w:val="20"/>
        </w:rPr>
        <w:t>Awake Craniotomy and Intraoperative Musical Performance for Brain Tumor Surgery: Case Report and Literature Review.</w:t>
      </w:r>
    </w:p>
    <w:p/>
    <w:p>
      <w:pPr>
        <w:pStyle w:val="Heading2"/>
      </w:pPr>
      <w:r>
        <w:t>Question 1: Intraoperative Decision-Making</w:t>
      </w:r>
    </w:p>
    <w:p>
      <w:r>
        <w:rPr>
          <w:b/>
          <w:sz w:val="22"/>
        </w:rPr>
        <w:t>Clinical Vignette</w:t>
      </w:r>
    </w:p>
    <w:p>
      <w:r>
        <w:t>A 34-year-old right-handed man who is a professional guitarist/singer with a history of depression presented after a generalized seizure. He reports 1 year of progressive word-finding difficulty and subtle cognitive changes. Neurologic exam shows he is awake and interactive without motor deficits; language is mildly anomic without frank aphasia. MRI demonstrates a non-enhancing intra-axial lesion centered in the left temporal lobe with extension into the insula, consistent with an infiltrative glioma in/near eloquent cortex. Preoperative functional MRI using standard language tasks and tongue motor paradigms shows left-hemisphere language activation adjacent to the lesion in the posterior superior temporal gyrus and motor-related activation in the inferior precentral gyrus. Diffusion tensor imaging was obtained to guide white-matter pathway avoidance. The patient is taken to the operating room for an oncologic left temporo-insular resection with awake functional testing to maximize extent of resection while preserving language and high-level musical ability. After dural opening and placement of a cortical electrode grid to localize the central sulcus, phase-reversal mapping is negative, suggesting the motor cortex may lie posterior to the intended corridor. Bipolar direct cortical stimulation at the initially tested sites does not elicit speech arrest or naming errors, yet the operative field is immediately adjacent to the fMRI-suspected posterior superior temporal gyrus language area and inferior precentral regions.</w:t>
      </w:r>
    </w:p>
    <w:p>
      <w:r>
        <w:rPr>
          <w:b/>
          <w:sz w:val="22"/>
        </w:rPr>
        <w:t>Question</w:t>
      </w:r>
    </w:p>
    <w:p>
      <w:r>
        <w:t>In this situation where intraoperative stimulation is negative but preoperative functional anatomy is highly suspicious for eloquent cortex, how should you immediately verify and augment functional localization (including stimulation parameters and task design), define safe functional boundaries, and decide whether to continue resection, narrow the planned resection, convert to subtotal resection, or stop—what key pitfalls must be avoided?</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34-year-old right-handed professional guitarist/singer with a history of depression is evaluated on postoperative day 1 after surgery for a left temporal–insular intra-axial brain tumor. Preoperatively he had a 1-year history of progressive word-finding difficulty and mild cognitive changes, and he presented after a generalized seizure. Immediately after surgery he is awake and follows commands but is anxious and intermittently tearful. Nursing reports that he can answer yes/no questions inconsistently and becomes frustrated when asked to name objects. On examination, he has fluent but circumlocutory speech with frequent pauses, impaired repetition of complex phrases, and difficulty with confrontation naming; comprehension for simple commands is largely intact. Motor strength is full in all extremities, and pupils are equal and reactive. He has had one episode of emesis but no further witnessed convulsions. Vital signs are stable; oxygenation is normal. A noncontrast head CT obtained for his new language change shows expected postoperative changes without a large hematoma or significant midline shift. Serum sodium is 132 mmol/L. Family is concerned he will permanently lose his ability to perform music and speak on stage.</w:t>
      </w:r>
    </w:p>
    <w:p>
      <w:r>
        <w:rPr>
          <w:b/>
          <w:sz w:val="22"/>
        </w:rPr>
        <w:t>Question</w:t>
      </w:r>
    </w:p>
    <w:p>
      <w:r>
        <w:t>What is the most likely postoperative complication causing this patient’s new language deficit, and what is the most appropriate immediate management to prevent irreversible neurologic injury?</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