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Oral and Maxillofacial Surgery | PMC6057080</w:t>
      </w:r>
    </w:p>
    <w:p>
      <w:pPr>
        <w:jc w:val="center"/>
      </w:pPr>
      <w:r>
        <w:rPr>
          <w:color w:val="888888"/>
          <w:sz w:val="20"/>
        </w:rPr>
        <w:t>Use of 3D printed model as an aid in surgical removal of a rare occurrence of a compound odontome in the anterior mandible associated with impacted teeth.</w:t>
      </w:r>
    </w:p>
    <w:p/>
    <w:p>
      <w:pPr>
        <w:pStyle w:val="Heading2"/>
      </w:pPr>
      <w:r>
        <w:t>Question 1: Intraoperative Decision-Making</w:t>
      </w:r>
    </w:p>
    <w:p>
      <w:r>
        <w:rPr>
          <w:b/>
          <w:sz w:val="22"/>
        </w:rPr>
        <w:t>Clinical Vignette</w:t>
      </w:r>
    </w:p>
    <w:p>
      <w:r>
        <w:t>A 12-year-old girl is brought to a pediatric dental clinic because her lower left front teeth have never erupted. She has no history of extractions, trauma, systemic disease, or syndromic features. Intraoral examination confirms absence of the mandibular left central and lateral incisors (FDI 31 and 32); adjacent teeth are present and there are no signs of acute infection. Cone-beam CT demonstrates impacted 31 and 32 in the anterior mandible associated with an odontome, with a suspected associated cystic lesion centered in the 31–32 region. A multidisciplinary team (pediatric dentistry, oral and maxillofacial surgery, orthodontics, prosthodontics) recommends operative management to remove the odontome/impacted teeth and enucleate the cystic component while preserving alveolar bone for future orthodontic and restorative rehabilitation. A limited buccal cortical access window is planned based on CBCT/3D model measurements. Intraoperatively, after mucoperiosteal flap elevation, you complete enucleation/curettage of the cystic lesion and remove the odontome and impacted teeth through a small circular buccal bony window. You are left with a contained intraosseous cavity; the lingual cortex appears intact. The defect is larger than expected and lies close to adjacent incisor root apices; the buccal access window is small relative to the cavity.</w:t>
      </w:r>
    </w:p>
    <w:p>
      <w:r>
        <w:rPr>
          <w:b/>
          <w:sz w:val="22"/>
        </w:rPr>
        <w:t>Question</w:t>
      </w:r>
    </w:p>
    <w:p>
      <w:r>
        <w:t>What is your intraoperative strategy to manage the residual anterior mandibular bony defect and obtain reliable soft-tissue closure—will you leave the cavity to heal, place graft material (if so, which type), and/or use a barrier membrane—and what specific technical steps are critical to minimize dehiscence, infection, and injury to adjacent tooth roots and nearby mental/incisive nerve branches?</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12-year-old girl is seen 5 days after oral surgery for a benign odontogenic lesion in the anterior mandible associated with unerupted lower incisors. She reports new, worsening pain in the lower anterior jaw that is disproportionate to expected postoperative discomfort. Over the past 24 hours she has developed swelling of the labial vestibule, foul taste, and difficulty biting, describing a “click” and instability when eating soft foods. She has no systemic illness but notes low-grade fever at home. Examination shows facial tenderness over the symphysis/parasymphysis, intraoral edema with erythema, and partial separation of the mucosal wound with purulent drainage. Gentle bimanual palpation of the mandibular anterior segment elicits marked tenderness and possible mobility/crepitus. Teeth adjacent to the surgical site are tender to percussion; sensation over the lower lip and chin is intact. Panoramic radiograph demonstrates a postoperative radiolucent cavity in the anterior mandible; the inferior border appears thinned, and there is concern for a linear lucency extending toward the mandibular cortex. A limited-field CBCT is available if needed.</w:t>
      </w:r>
    </w:p>
    <w:p>
      <w:r>
        <w:rPr>
          <w:b/>
          <w:sz w:val="22"/>
        </w:rPr>
        <w:t>Question</w:t>
      </w:r>
    </w:p>
    <w:p>
      <w:r>
        <w:t>What early postoperative complication must be prioritized in this scenario, what findings on examination and imaging should trigger urgent concern, and how should management be structured (observation vs antibiotics and local wound care vs immobilization/fixation or surgical re-exploration), including key preventive strategies for future similar cases while preserving anterior mandibular bone for later rehabilitation?</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