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Orthopedics | PMC11792110</w:t>
      </w:r>
    </w:p>
    <w:p>
      <w:pPr>
        <w:jc w:val="center"/>
      </w:pPr>
      <w:r>
        <w:rPr>
          <w:color w:val="888888"/>
          <w:sz w:val="20"/>
        </w:rPr>
        <w:t>Ten-year minimal follow-up of lateral opening wedge distal femoral osteotomy for lateral femorotibial osteoarthritis: Good survivorship and high patient satisfaction.</w:t>
      </w:r>
    </w:p>
    <w:p/>
    <w:p>
      <w:pPr>
        <w:pStyle w:val="Heading2"/>
      </w:pPr>
      <w:r>
        <w:t>Question 1: Intraoperative Decision-Making</w:t>
      </w:r>
    </w:p>
    <w:p>
      <w:r>
        <w:rPr>
          <w:b/>
          <w:sz w:val="22"/>
        </w:rPr>
        <w:t>Clinical Vignette</w:t>
      </w:r>
    </w:p>
    <w:p>
      <w:r>
        <w:t>A 48-year-old active patient (BMI 26.3 kg/m², ASA 1–2) has chronic, activity-limiting lateral knee pain from isolated lateral femorotibial osteoarthritis with symptomatic valgus malalignment despite nonoperative management. Examination shows valgus alignment and lateral joint-line tenderness without ligamentous instability; no concomitant ligament or tibial tubercle procedure is planned. Standing full-length radiographs demonstrate valgus mechanical malalignment with an mFTA of approximately 189° (range 184°–197°). Deformity analysis indicates the valgus is primarily femoral (LDFA about 83°; MPTA assessed and not the dominant contributor). The patient desires a joint-preserving realignment procedure to unload the lateral compartment and maintain sports participation. Intraoperatively, after exposure and creation of the planned correction cut and controlled opening of the gap to achieve the preplanned neutral mechanical axis target (mFTA 180°), you note that the medial cortical hinge has partially fractured and the osteotomy gap is less stable than expected under fluoroscopic stress. You must decide how to proceed with fixation and gap management to avoid loss of correction or nonunion while minimizing complications.</w:t>
      </w:r>
    </w:p>
    <w:p>
      <w:r>
        <w:rPr>
          <w:b/>
          <w:sz w:val="22"/>
        </w:rPr>
        <w:t>Question</w:t>
      </w:r>
    </w:p>
    <w:p>
      <w:r>
        <w:t>In this setting of an intraoperative hinge compromise with instability after opening-gap correction for valgus malalignment, what is your immediate stepwise management—how do you confirm the degree/direction of hinge failure, what changes (if any) do you make to fixation strategy and gap grafting/substitution, and what technical pitfalls must be avoided to prevent postoperative loss of correction or nonunion?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48-year-old physically active patient with symptomatic valgus malalignment and isolated lateral compartment knee osteoarthritis underwent a joint-preserving corrective realignment procedure around the distal femur. The immediate postoperative course was uncomplicated. At the 6-week follow-up, the patient reports persistent, disproportionate pain localized to the lateral distal femur near the bony cut site, worse with attempts to advance weight bearing, and slower-than-expected functional progress despite adherence to rehabilitation. There is no fever, wound drainage, or erythema. Calf is soft without swelling or tenderness; distal pulses and motor/sensory exam are intact. Standard postoperative radiographs show maintained overall limb alignment, but there is minimal interval callus formation and only partial bridging across the osteotomy surface. The hardware appears intact; however, subtle widening at the osteotomy gap and concern for early micromotion versus delayed biologic healing are raised. The patient is anxious to return to sport. The clinician must determine whether this represents expected early healing, delayed union/early nonunion, or secondary loss of fixation, and decide on the safest next step, including whether advanced imaging is indicated and how to modify weight bearing and rehabilitation to minimize the risk of progression to nonunion or displacement.</w:t>
      </w:r>
    </w:p>
    <w:p>
      <w:r>
        <w:rPr>
          <w:b/>
          <w:sz w:val="22"/>
        </w:rPr>
        <w:t>Question</w:t>
      </w:r>
    </w:p>
    <w:p>
      <w:r>
        <w:t>In this postoperative scenario after major distal femoral realignment for valgus knee osteoarthritis, what are the most likely causes of delayed union/early nonunion versus secondary loss of fixation, and what evidence-based diagnostic and management plan should be implemented (including when to obtain CT, how to modify weight bearing, and indications for revision), and what prevention strategy would you apply in future cases to optimize mechanical stability and biologic healing?</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