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Orthopedics | PMC8357250</w:t>
      </w:r>
    </w:p>
    <w:p>
      <w:pPr>
        <w:jc w:val="center"/>
      </w:pPr>
      <w:r>
        <w:rPr>
          <w:color w:val="888888"/>
          <w:sz w:val="20"/>
        </w:rPr>
        <w:t>Posterolateral Complex Reconstruction With Distal Femoral Varus Opening-Wedge Osteotomy for Unstable Neglected Multiligamentous Knee Injury With Valgus Malalignment.</w:t>
      </w:r>
    </w:p>
    <w:p/>
    <w:p>
      <w:pPr>
        <w:pStyle w:val="Heading2"/>
      </w:pPr>
      <w:r>
        <w:t>Question 1: Intraoperative Decision-Making</w:t>
      </w:r>
    </w:p>
    <w:p>
      <w:r>
        <w:rPr>
          <w:b/>
          <w:sz w:val="22"/>
        </w:rPr>
        <w:t>Clinical Vignette</w:t>
      </w:r>
    </w:p>
    <w:p>
      <w:r>
        <w:t>A 25-year-old woman with no neurovascular deficits presents with 15 months of worsening right knee pain, recurrent effusions, and a persistent sense of instability. Two years ago she sustained a multiligamentous knee injury in a motorcycle collision and previously underwent ACL reconstruction with artificial ligament augmentation. Examination shows obvious genu valgum, posterior tibial sag, full range of motion, a 3+ posterior drawer and 3+ posterolateral drawer, 3+ varus laxity and 2+ valgus laxity; anterior drawer is limited by a posteriorly positioned tibia. Long-leg alignment radiographs demonstrate a 17° valgus deformity with mechanical axis deviation 6.2 cm laterally and a low mLDFA of 73.5°, suggesting predominantly distal femoral malalignment; there is lateral femoral condyle and lateral tibial plateau bone loss with posterior tibial migration. MRI shows near-complete medial and lateral meniscal deficiency, decreased MCL thickness, partial LCL tear with popliteus atrophy/tendon thinning consistent with chronic posterolateral corner insufficiency, extensive chondral loss with cortical erosions in both femoral condyles, and an occult lateral tibial plateau fracture. She is taken to the operating room for diagnostic arthroscopy and possible combined realignment and biologic/ligamentous stabilization, with arthroplasty considered undesirable due to age.</w:t>
      </w:r>
    </w:p>
    <w:p>
      <w:r>
        <w:rPr>
          <w:b/>
          <w:sz w:val="22"/>
        </w:rPr>
        <w:t>Question</w:t>
      </w:r>
    </w:p>
    <w:p>
      <w:r>
        <w:t>During arthroscopy you find end-stage posttraumatic degeneration: grade 4 bipolar cartilage loss in the lateral compartment, grade 3 changes medially, complete loss of both menisci, and multiple loose bodies. The prior artificial ACL graft appears firm and stable, but the lateral femoral condyle and tibial plateau bone stock appear compromised, raising concern for future tunnel placement. What is your intraoperative plan regarding (1) whether to proceed with biologic salvage versus stage procedures, (2) how to prioritize loose-body removal/debridement versus corrective realignment and ligament/posterolateral corner reconstruction, and (3) which technical steps and pitfalls are critical to preserve future reconstruction options given bone-stock and tunnel-trajectory constraints?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25-year-old woman is admitted after surgical management of a chronically unstable, posttraumatic right knee with longstanding valgus malalignment. She has a 2-year history of progressive pain, recurrent effusions, and episodes of giving way after a prior multiligament knee injury. Preoperatively she ambulated independently but was limited by instability; neurovascular examination documented intact motor function (including ankle/toe dorsiflexion) and normal sensation throughout the foot, with palpable distal pulses. On postoperative day 2, she reports new tingling over the dorsum of the foot and lateral shin and difficulty walking. Examination shows an inability to dorsiflex the ankle and extend the great toe (0–1/5 strength), with decreased sensation in the superficial and deep peroneal nerve distributions; plantarflexion is preserved. The calf is soft and non-tender, compartments are not tense, and distal pulses and capillary refill remain normal. The knee is moderately swollen without excessive drainage, and there is no fever. She is wearing a postoperative brace and a bulky dressing. There is concern for an acute postoperative common peroneal nerve palsy in the setting of valgus correction and posterolateral knee pathology.</w:t>
      </w:r>
    </w:p>
    <w:p>
      <w:r>
        <w:rPr>
          <w:b/>
          <w:sz w:val="22"/>
        </w:rPr>
        <w:t>Question</w:t>
      </w:r>
    </w:p>
    <w:p>
      <w:r>
        <w:t>What is the most likely mechanism of this postoperative foot drop, how should the injury be confirmed and graded (including immediate bedside steps and appropriate use/timing of imaging and electrodiagnostic testing), and what is an evidence-based management plan—including indications and timing for observation versus urgent surgical exploration—and prevention strategies for future cases?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