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Pediatric Surgery | PMC8427879</w:t>
      </w:r>
    </w:p>
    <w:p>
      <w:pPr>
        <w:jc w:val="center"/>
      </w:pPr>
      <w:r>
        <w:rPr>
          <w:color w:val="888888"/>
          <w:sz w:val="20"/>
        </w:rPr>
        <w:t>A case of ultrashort-segment Hirschsprung's disease discovered after taking polyethylene glycol electrolyte solution for chronic constipation.</w:t>
      </w:r>
    </w:p>
    <w:p/>
    <w:p>
      <w:pPr>
        <w:pStyle w:val="Heading2"/>
      </w:pPr>
      <w:r>
        <w:t>Question 1: Intraoperative Decision-Making</w:t>
      </w:r>
    </w:p>
    <w:p>
      <w:r>
        <w:rPr>
          <w:b/>
          <w:sz w:val="22"/>
        </w:rPr>
        <w:t>Clinical Vignette</w:t>
      </w:r>
    </w:p>
    <w:p>
      <w:r>
        <w:t>A 4-year-old girl (born at 29 weeks’ gestation from a twin pregnancy; birth weight 1013 g) has had severe constipation since infancy, requiring glycerin enemas and stimulant laxatives, with bowel movements only every 4–5 days. After taking polyethylene glycol electrolyte solution twice for chronic constipation, she develops rapidly progressive abdominal distension and inability to pass stool. Abdominal radiograph shows a large retained stool burden. Contrast enema demonstrates marked fecal loading with dilation from the rectum through the sigmoid; with straining the rectum appears smooth and tapers in a funnel shape toward the anus. Anorectal manometry shows absence of the rectoanal inhibitory reflex. Under general anesthesia, a full-thickness rectal biopsy taken 2 cm proximal to the dentate line shows very sparse ganglion cells in the myenteric plexus, consistent with Hirschsprung disease limited to the distal rectum (ultrashort-segment). She is now in the operating room for a planned definitive oncologic-style resection is not relevant; instead, a definitive reconstructive operation for ultrashort-segment Hirschsprung disease is underway. Intraoperatively, mapping confirms aganglionosis extends to very near the dentate line. The posterior anorectal wall is notably thick, raising concern that leaving an intact muscular cuff could create a constricting ring postoperatively.</w:t>
      </w:r>
    </w:p>
    <w:p>
      <w:r>
        <w:rPr>
          <w:b/>
          <w:sz w:val="22"/>
        </w:rPr>
        <w:t>Question</w:t>
      </w:r>
    </w:p>
    <w:p>
      <w:r>
        <w:t>Given aganglionosis extending close to the dentate line, what is your intraoperative plan for (a) the distal level of the anastomosis relative to the dentate line in the posterior, lateral, and anterior quadrants, and (b) how you will modify the distal muscular cuff/posterior wall to prevent postoperative obstruction or stricture while preserving continence—what key technical steps and pitfalls must be considered?</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4-year-old girl with a history of severe, lifelong constipation and dependence on laxatives/enemas undergoes definitive surgery for distal functional bowel obstruction consistent with Hirschsprung’s disease involving the very distal rectum. On postoperative day 3, she develops progressive abdominal distension, decreased stool output, and poor tolerance of oral intake. Her parents report only scant liquid stool and increasing irritability. She has intermittent fever to 38.6°C and mild tachycardia. Physical exam shows a markedly distended, tympanitic abdomen with diffuse tenderness but no peritoneal rigidity; the perianal area appears intact without wound breakdown. Laboratory studies show leukocytosis and mild metabolic acidosis. A plain abdominal radiograph demonstrates diffuse colonic and small-bowel gaseous distension without free air. The team is concerned about early postoperative obstruction versus Hirschsprung-associated enterocolitis (HAEC) in a child who had reconstruction very close to the anal canal. Key possibilities include an anastomotic narrowing/stricture, a retained obstructing distal rectal segment/cuff effect, or postoperative edema causing functional obstruction, with HAEC as a competing or concurrent diagnosis.</w:t>
      </w:r>
    </w:p>
    <w:p>
      <w:r>
        <w:rPr>
          <w:b/>
          <w:sz w:val="22"/>
        </w:rPr>
        <w:t>Question</w:t>
      </w:r>
    </w:p>
    <w:p>
      <w:r>
        <w:t>In this postoperative scenario, what are the most likely anatomic/operative causes of early obstruction, what diagnostic workup should be performed to distinguish mechanical obstruction from HAEC, and what is the stepwise management plan (including decompression/irrigation, antibiotics, dilation, and indications for reoperation), as well as prevention strategies for future very low reconstructions?</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