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Plastic Surgery | PMC11110872</w:t>
      </w:r>
    </w:p>
    <w:p>
      <w:pPr>
        <w:jc w:val="center"/>
      </w:pPr>
      <w:r>
        <w:rPr>
          <w:color w:val="888888"/>
          <w:sz w:val="20"/>
        </w:rPr>
        <w:t>Partial hand replantation using free microsurgical replantation with staged heterotopic banking of amputated parts: towards improving long term outcomes.</w:t>
      </w:r>
    </w:p>
    <w:p/>
    <w:p>
      <w:pPr>
        <w:pStyle w:val="Heading2"/>
      </w:pPr>
      <w:r>
        <w:t>Question 1: Intraoperative Decision-Making</w:t>
      </w:r>
    </w:p>
    <w:p>
      <w:r>
        <w:rPr>
          <w:b/>
          <w:sz w:val="22"/>
        </w:rPr>
        <w:t>Clinical Vignette</w:t>
      </w:r>
    </w:p>
    <w:p>
      <w:r>
        <w:t>A 43-year-old healthy right-hand–dominant carpenter sustains a mitre-saw injury to the left hand with loss of digits. The amputated composite segment containing digits 1–4 arrives wrapped in saline gauze on ice; estimated cold ischemia time is ~14 hours. The remaining hand has a heavily crushed, avulsed, contaminated wound bed with high infection risk. Imaging shows trans-metacarpal amputation of the thumb and index, proximal phalanx-level amputations of the middle and ring fingers, associated metacarpal/proximal phalanx fractures, and a severely injured small finger. In the operating room, after aggressive debridement and skeletal alignment, you proceed with attempted salvage of the multi-digit composite segment. Bony fixation has been completed using retrograde 0.045-inch K-wires, and you have identified a suitable radial artery branch near the anatomic snuffbox for arterial inflow. You complete the first venous anastomosis to a cephalic-system vein and release clamps. The composite rapidly becomes dark, tense, and turgid with brisk capillary refill and continuous bleeding/oozing from distal tissues, raising concern for inadequate venous drainage in the setting of a complex, multi-digit revascularization.</w:t>
      </w:r>
    </w:p>
    <w:p>
      <w:r>
        <w:rPr>
          <w:b/>
          <w:sz w:val="22"/>
        </w:rPr>
        <w:t>Question</w:t>
      </w:r>
    </w:p>
    <w:p>
      <w:r>
        <w:t>Given signs of venous congestion immediately after the first venous anastomosis, how should you prioritize and sequence the remaining vascular anastomoses (artery versus additional veins), which venous systems should be targeted to reliably establish outflow in a multi-digit composite, what key technical maneuvers improve venous patency, and what intraoperative pitfalls most commonly lead to early thrombosis or loss of the replanted segment?</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43-year-old right-hand–dominant carpenter is evaluated in the recovery area several hours after emergency reattachment of multiple amputated digits to his left hand following a mitre-saw injury. The injury involved extensive crush-avulsion of the soft tissues with visible contamination and multiple open fractures. Postoperatively, the hand is splinted and kept warm; the patient is normotensive but has escalating pain requiring opioids. On hourly checks, the replanted digits become progressively dusky-purple and tense with brisk capillary refill. Pinprick produces rapid refilling with dark, persistent oozing. Doppler assessment demonstrates a strong, continuous arterial signal at the level of the replanted digits, but venous signals are weak or absent. The swelling is increasing despite elevation. There is no significant external bleeding and the dressings are not tight. The remainder of the hand proximal to the replanted segment is well perfused. Laboratory studies show stable hemoglobin and no coagulopathy. Nursing reports that the color change has worsened over the last 60–90 minutes, and the replanted tissues now appear cool compared with earlier assessments, raising concern for threatened viability due to outflow failure rather than inflow compromise.</w:t>
      </w:r>
    </w:p>
    <w:p>
      <w:r>
        <w:rPr>
          <w:b/>
          <w:sz w:val="22"/>
        </w:rPr>
        <w:t>Question</w:t>
      </w:r>
    </w:p>
    <w:p>
      <w:r>
        <w:t>What is the most likely cause of this postoperative presentation, how should the diagnosis be confirmed, and what immediate stepwise management (bedside and operative) is indicated to salvage the replanted digits, including specific strategies to prevent recurrence in future similar cases?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