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Thoracic Surgery | PMC5827255</w:t>
      </w:r>
    </w:p>
    <w:p>
      <w:pPr>
        <w:jc w:val="center"/>
      </w:pPr>
      <w:r>
        <w:rPr>
          <w:color w:val="888888"/>
          <w:sz w:val="20"/>
        </w:rPr>
        <w:t>Intraductal papillary mucinous neoplasm of the oesophagus: an unusual case of dysphagia.</w:t>
      </w:r>
    </w:p>
    <w:p/>
    <w:p>
      <w:pPr>
        <w:pStyle w:val="Heading2"/>
      </w:pPr>
      <w:r>
        <w:t>Question 1: Intraoperative Decision-Making</w:t>
      </w:r>
    </w:p>
    <w:p>
      <w:r>
        <w:rPr>
          <w:b/>
          <w:sz w:val="22"/>
        </w:rPr>
        <w:t>Clinical Vignette</w:t>
      </w:r>
    </w:p>
    <w:p>
      <w:r>
        <w:t>A 58-year-old woman with several weeks of progressive dysphagia (solids worse than liquids) underwent endoscopy showing a partially obstructing intraluminal oesophageal lesion with mucinous material; biopsies suggested a papillary mucin-producing neoplasm arising within the oesophageal wall with uncertain malignant potential. Cross-sectional imaging did not demonstrate distant metastases, and she was brought to the operating theatre for planned oncologic resection of a mid-to-lower thoracic oesophageal lesion with immediate reconstruction if margins were satisfactory. During thoracic mobilisation and circumferential freeing of the oesophagus, you encounter an extensive intramural, gelatinous/mucinous-appearing process causing marked luminal narrowing. The lesion tracks longitudinally both proximally and distally far beyond the extent anticipated preoperatively, and the tissue planes are atypical and poorly defined. Grossly, it is unclear whether this represents a benign mucinous cystic-type process versus widespread intramural dissemination of a mucin-secreting adenocarcinoma. Proceeding directly to reconstruction risks creating an anastomosis in involved tissue or leaving positive margins, yet overly radical resection without confirmation may add morbidity without benefit.</w:t>
      </w:r>
    </w:p>
    <w:p>
      <w:r>
        <w:rPr>
          <w:b/>
          <w:sz w:val="22"/>
        </w:rPr>
        <w:t>Question</w:t>
      </w:r>
    </w:p>
    <w:p>
      <w:r>
        <w:t>In this intraoperative scenario, how would you make real-time decisions to maximise the chance of an R0 resection while avoiding reconstruction when margins and pathology are uncertain? Describe your key technical steps, including specimen sampling and frozen-section strategy, how you would define proximal/distal margins, what findings would trigger extending the resection or converting to an alternative plan (including staged resection or aborting reconstruction), and the most common pitfalls and how to prevent them?</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58-year-old woman is on postoperative day 5 after major thoracic surgery for an obstructing oesophageal lesion, with mediastinal dissection and placement of a pleural drain. Her early recovery was uneventful until the last 12 hours, when she developed fever (38.6°C), pleuritic chest pain, worsening shortness of breath, and tachycardia. The chest drain output, previously low and serosanguinous, has abruptly increased to 1.2 L over 24 hours and is now opaque, milky-white. On examination she is mildly hypotensive, has reduced breath sounds on the operated side, and increased work of breathing. Laboratory studies show leukocytosis (WBC 15.8 ×10^9/L) and falling serum albumin compared with baseline. A chest radiograph demonstrates an enlarging pleural effusion on the side of the drain without pneumothorax. She has resumed enteral feeding. There is concern for a postoperative pleural space complication related to lymphatic injury with significant ongoing fluid losses and risk of nutritional and immunologic compromise.</w:t>
      </w:r>
    </w:p>
    <w:p>
      <w:r>
        <w:rPr>
          <w:b/>
          <w:sz w:val="22"/>
        </w:rPr>
        <w:t>Question</w:t>
      </w:r>
    </w:p>
    <w:p>
      <w:r>
        <w:t>What is the most likely postoperative complication, what is its underlying mechanism and key risk factors in this setting, what evidence-based diagnostic criteria should be used to confirm it, and what stepwise, severity-stratified management plan (conservative, interventional, and operative—including indications and timing) should be instituted; additionally, what intraoperative prevention and postoperative monitoring measures reduce the risk of this complication?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