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Thoracic Surgery | PMC8482056</w:t>
      </w:r>
    </w:p>
    <w:p>
      <w:pPr>
        <w:jc w:val="center"/>
      </w:pPr>
      <w:r>
        <w:rPr>
          <w:color w:val="888888"/>
          <w:sz w:val="20"/>
        </w:rPr>
        <w:t>Characterization of Outcomes by Surgical Management of Lung Neuroendocrine Tumors Associated With Cushing Syndrome.</w:t>
      </w:r>
    </w:p>
    <w:p/>
    <w:p>
      <w:pPr>
        <w:pStyle w:val="Heading2"/>
      </w:pPr>
      <w:r>
        <w:t>Question 1: Intraoperative Decision-Making</w:t>
      </w:r>
    </w:p>
    <w:p>
      <w:r>
        <w:rPr>
          <w:b/>
          <w:sz w:val="22"/>
        </w:rPr>
        <w:t>Clinical Vignette</w:t>
      </w:r>
    </w:p>
    <w:p>
      <w:r>
        <w:t>A 41-year-old patient with several months of progressive Cushingoid features (proximal muscle weakness, central weight gain, easy bruising, and worsening hypertension) is diagnosed with ACTH-dependent hypercortisolism. Endocrine workup and multidisciplinary review support ectopic ACTH secretion from a solitary pulmonary lesion on chest imaging, most consistent with a bronchopulmonary neuroendocrine tumor. There are no obstructive airway symptoms, and bronchoscopy has been performed to assess for endobronchial involvement. The patient is brought to the operating room for curative-intent minimally invasive anatomic lung resection with planned—but initially limited—lymph node sampling. Intraoperatively, after division of the pulmonary vein and while developing the fissure and hilar planes, you encounter multiple firm, enlarged ipsilateral hilar and mediastinal lymph nodes with anthracotic pigmentation and irregular architecture. One nodal packet is densely adherent to the pulmonary artery adventitia, raising concern for nodal metastasis versus inflammatory change and increasing the risk of vascular injury during dissection. Frozen section is available but will prolong operative time.</w:t>
      </w:r>
    </w:p>
    <w:p>
      <w:r>
        <w:rPr>
          <w:b/>
          <w:sz w:val="22"/>
        </w:rPr>
        <w:t>Question</w:t>
      </w:r>
    </w:p>
    <w:p>
      <w:r>
        <w:t>What is your immediate intraoperative strategy for lymph node evaluation and extent of resection to ensure accurate staging and local control, including the critical technical steps to safely perform systematic nodal dissection around the pulmonary artery, and what pitfalls would increase the risk of vascular injury or incomplete staging?</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41-year-old patient is on postoperative day 10 after curative-intent surgery for a localized bronchopulmonary neuroendocrine tumor associated with confirmed ACTH-dependent hypercortisolism (Cushing syndrome). Preoperatively, the patient had progressive proximal muscle weakness, weight gain, easy bruising, and difficult-to-control hypertension. Early postoperative recovery was uncomplicated, but over the past week the patient’s blood pressure has remained persistently elevated despite escalating antihypertensive therapy, and new hyperglycemia has required insulin. The patient reports ongoing severe fatigue and weakness. On exam, central adiposity and facial rounding remain evident, and there is no focal lung finding. Basic labs show leukocytosis without a clear source, and potassium is low-normal. A morning cortisol level is inappropriately high for the postoperative state, and plasma ACTH remains elevated. Cross-sectional chest imaging shows expected postoperative changes without a new lung mass but demonstrates an enlarged ipsilateral hilar/mediastinal lymph node conglomerate compared with preoperative imaging. The surgical pathology report documents a typical carcinoid tumor; however, the nodal status is reported as indeterminate due to inadequate lymph node evaluation, and no definitive mediastinal nodal staging is available. Endocrinology is concerned about persistent ectopic ACTH secretion and ongoing thromboembolic and infectious risk from hypercortisolism.</w:t>
      </w:r>
    </w:p>
    <w:p>
      <w:r>
        <w:rPr>
          <w:b/>
          <w:sz w:val="22"/>
        </w:rPr>
        <w:t>Question</w:t>
      </w:r>
    </w:p>
    <w:p>
      <w:r>
        <w:t>What is the most likely explanation for this patient’s persistent Cushing syndrome after lung tumor surgery, and what postoperative strategy should be prioritized to both complete oncologic staging/treatment and achieve biochemical control of hypercortisolism?</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