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Vascular Surgery | PMC12707706</w:t>
      </w:r>
    </w:p>
    <w:p>
      <w:pPr>
        <w:jc w:val="center"/>
      </w:pPr>
      <w:r>
        <w:rPr>
          <w:color w:val="888888"/>
          <w:sz w:val="20"/>
        </w:rPr>
        <w:t>Less invasive carotid endarterectomy with balloon thrombectomy for proximal common carotid artery occlusion in a patient with C4 spinal cord Injury: A case report.</w:t>
      </w:r>
    </w:p>
    <w:p/>
    <w:p>
      <w:pPr>
        <w:pStyle w:val="Heading2"/>
      </w:pPr>
      <w:r>
        <w:t>Question 1: Intraoperative Decision-Making</w:t>
      </w:r>
    </w:p>
    <w:p>
      <w:r>
        <w:rPr>
          <w:b/>
          <w:sz w:val="22"/>
        </w:rPr>
        <w:t>Clinical Vignette</w:t>
      </w:r>
    </w:p>
    <w:p>
      <w:r>
        <w:t>A 66-year-old man with a chronic C4 spinal cord injury (wheelchair-dependent; baseline modified Rankin Scale 4) has recurrent posture-induced aphasia and worsening right hemiparesis despite dual antiplatelet therapy and intravenous anticoagulation. Brain MRI shows scattered acute infarcts in the left hemisphere with a new watershed infarct on repeat imaging. MR/DS angiography demonstrates a complete occlusion of the left common carotid artery (CCA) beginning a few centimeters distal to its origin; the occluded stump lies anatomically below the clavicle. The carotid bifurcation and distal vessels appear reconstituted, likely via external carotid artery (ECA) collaterals, but the internal carotid artery (ICA) fills only faintly. Collateral flow through the anterior communicating artery is minimal, and there is no meaningful posterior circulation collateralization. Carotid ultrasonography suggests hypoechoic secondary thrombus throughout the CCA up to the bifurcation, and plaque imaging suggests unstable plaque near the bifurcation. Because he continues to have embolic/low-flow symptoms with impaired rehabilitation, he is taken to the operating room for planned carotid revascularization. During cervical exposure and proximal control of the CCA, near-infrared spectroscopy (NIRS) and somatosensory evoked potentials (SSEP) monitoring are established.</w:t>
      </w:r>
    </w:p>
    <w:p>
      <w:r>
        <w:rPr>
          <w:b/>
          <w:sz w:val="22"/>
        </w:rPr>
        <w:t>Question</w:t>
      </w:r>
    </w:p>
    <w:p>
      <w:r>
        <w:t>After a longitudinal arteriotomy on the left CCA, you encounter complete occlusion by dark red, organized thrombus. Suction catheter aspiration from the proximal CCA does not restore inflow, and the thrombus appears to extend proximally toward the subclavicular segment where exposure is limited. With NIRS and SSEP monitoring in place, what intraoperative strategy should you use to achieve safe proximal CCA recanalization while maintaining cerebral perfusion and minimizing embolic risk, and what critical technical steps and pitfalls must be addressed before proceeding with definitive reconstruction?</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66-year-old man with chronic C4 spinal cord injury (wheelchair-dependent) is admitted for recurrent, posture-triggered episodes of aphasia and worsening right hemiparesis. Pre-admission MRI demonstrated small acute infarcts in the left hemisphere and vascular imaging showed severe left-sided extracranial carotid occlusive disease with markedly reduced perfusion to the left middle cerebral artery territory and poor intracranial collateral supply. He undergoes an urgent open cervical vascular revascularization procedure for symptomatic carotid occlusion. He is managed postoperatively in an ICU on antithrombotic therapy and close neurologic monitoring. Six hours after surgery he develops a new focal deficit: dense right arm weakness (0–1/5) and expressive aphasia, worse than his preoperative baseline. Vital signs show BP 165/85 mmHg, HR 78, SpO2 98% on room air. He is awake and follows simple commands with the left hand. The neck incision is clean with mild swelling but no airway compromise. Pupils are equal and reactive. There is no generalized seizure activity. Bedside glucose is normal and hemoglobin is stable. The clinical team is concerned about an acute perioperative cerebrovascular event related to the treated carotid territory.</w:t>
      </w:r>
    </w:p>
    <w:p>
      <w:r>
        <w:rPr>
          <w:b/>
          <w:sz w:val="22"/>
        </w:rPr>
        <w:t>Question</w:t>
      </w:r>
    </w:p>
    <w:p>
      <w:r>
        <w:t>In this patient who develops a new focal neurologic deficit within 6 hours after open cervical carotid revascularization for symptomatic carotid occlusion with poor collateralization, what is the most likely perioperative complication and its mechanism, and what immediate diagnostic workup and management should be initiated?</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