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pt;height:398.4pt" o:ole="">
            <v:imagedata r:id="rId9" o:title=""/>
          </v:shape>
          <o:OLEObject Type="Embed" ProgID="Visio.Drawing.15" ShapeID="_x0000_i1025" DrawAspect="Content" ObjectID="_1511790581"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2.6pt;height:670.2pt" o:ole="">
            <v:imagedata r:id="rId11" o:title=""/>
          </v:shape>
          <o:OLEObject Type="Embed" ProgID="Visio.Drawing.15" ShapeID="_x0000_i1026" DrawAspect="Content" ObjectID="_1511790582" r:id="rId12"/>
        </w:object>
      </w:r>
    </w:p>
    <w:p w:rsidR="005D7339" w:rsidRDefault="005D7339" w:rsidP="001E1ECF"/>
    <w:p w:rsidR="005D7339" w:rsidRDefault="007E5074" w:rsidP="001E1ECF">
      <w:r>
        <w:object w:dxaOrig="12676" w:dyaOrig="6870">
          <v:shape id="_x0000_i1027" type="#_x0000_t75" style="width:522.6pt;height:283.2pt" o:ole="">
            <v:imagedata r:id="rId13" o:title=""/>
          </v:shape>
          <o:OLEObject Type="Embed" ProgID="Visio.Drawing.15" ShapeID="_x0000_i1027" DrawAspect="Content" ObjectID="_1511790583" r:id="rId14"/>
        </w:object>
      </w:r>
    </w:p>
    <w:p w:rsidR="005D7339" w:rsidRDefault="005D7339" w:rsidP="001E1ECF">
      <w:r>
        <w:object w:dxaOrig="8257" w:dyaOrig="4068">
          <v:shape id="_x0000_i1028" type="#_x0000_t75" style="width:412.2pt;height:203.4pt" o:ole="">
            <v:imagedata r:id="rId15" o:title=""/>
          </v:shape>
          <o:OLEObject Type="Embed" ProgID="Visio.Drawing.15" ShapeID="_x0000_i1028" DrawAspect="Content" ObjectID="_1511790584" r:id="rId16"/>
        </w:object>
      </w:r>
      <w:r>
        <w:br w:type="textWrapping" w:clear="all"/>
      </w:r>
    </w:p>
    <w:p w:rsidR="005D7339" w:rsidRPr="001E1ECF" w:rsidRDefault="005D7339" w:rsidP="001E1ECF">
      <w:r>
        <w:object w:dxaOrig="8857" w:dyaOrig="8425">
          <v:shape id="_x0000_i1029" type="#_x0000_t75" style="width:249pt;height:237pt" o:ole="">
            <v:imagedata r:id="rId17" o:title=""/>
          </v:shape>
          <o:OLEObject Type="Embed" ProgID="Visio.Drawing.15" ShapeID="_x0000_i1029" DrawAspect="Content" ObjectID="_1511790585" r:id="rId18"/>
        </w:object>
      </w:r>
    </w:p>
    <w:p w:rsidR="00B81A1B" w:rsidRPr="00B81A1B" w:rsidRDefault="00C6559C" w:rsidP="00B81A1B">
      <w:pPr>
        <w:pStyle w:val="Nagwek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220ADE"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bookmarkStart w:id="1" w:name="_GoBack"/>
            <w:r>
              <w:rPr>
                <w:rFonts w:ascii="Consolas" w:hAnsi="Consolas" w:cs="Consolas"/>
                <w:lang w:val="en-US"/>
              </w:rPr>
              <w:t>Klient</w:t>
            </w:r>
            <w:bookmarkEnd w:id="1"/>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30" type="#_x0000_t75" style="width:522.6pt;height:133.8pt" o:ole="">
            <v:imagedata r:id="rId20" o:title=""/>
          </v:shape>
          <o:OLEObject Type="Embed" ProgID="Visio.Drawing.15" ShapeID="_x0000_i1030" DrawAspect="Content" ObjectID="_1511790586"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220ADE"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F964AD" w:rsidRDefault="00F964AD">
                        <w:r>
                          <w:t>1B</w:t>
                        </w:r>
                      </w:p>
                    </w:txbxContent>
                  </v:textbox>
                </v:shape>
              </w:pict>
            </w:r>
            <w:r w:rsidR="00483C47">
              <w:t>Rodzaj kodowania</w:t>
            </w:r>
          </w:p>
        </w:tc>
        <w:tc>
          <w:tcPr>
            <w:tcW w:w="2126" w:type="dxa"/>
          </w:tcPr>
          <w:p w:rsidR="00483C47" w:rsidRDefault="00220ADE"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F964AD" w:rsidRDefault="00F964A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220ADE"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lastRenderedPageBreak/>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43B" w:rsidRDefault="003A243B" w:rsidP="00C66AA3">
      <w:pPr>
        <w:spacing w:after="0" w:line="240" w:lineRule="auto"/>
      </w:pPr>
      <w:r>
        <w:separator/>
      </w:r>
    </w:p>
  </w:endnote>
  <w:endnote w:type="continuationSeparator" w:id="0">
    <w:p w:rsidR="003A243B" w:rsidRDefault="003A243B"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43B" w:rsidRDefault="003A243B" w:rsidP="00C66AA3">
      <w:pPr>
        <w:spacing w:after="0" w:line="240" w:lineRule="auto"/>
      </w:pPr>
      <w:r>
        <w:separator/>
      </w:r>
    </w:p>
  </w:footnote>
  <w:footnote w:type="continuationSeparator" w:id="0">
    <w:p w:rsidR="003A243B" w:rsidRDefault="003A243B"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0ADE"/>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805AA"/>
    <w:rsid w:val="00885423"/>
    <w:rsid w:val="00890C79"/>
    <w:rsid w:val="00893466"/>
    <w:rsid w:val="00893648"/>
    <w:rsid w:val="008A670A"/>
    <w:rsid w:val="008C052C"/>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6"/>
        <o:r id="V:Rule5" type="connector" idref="#_x0000_s1033"/>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D1EB2-5510-471A-9954-AC20BA54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Pages>
  <Words>2830</Words>
  <Characters>16985</Characters>
  <Application>Microsoft Office Word</Application>
  <DocSecurity>0</DocSecurity>
  <Lines>141</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62</cp:revision>
  <dcterms:created xsi:type="dcterms:W3CDTF">2015-11-30T02:51:00Z</dcterms:created>
  <dcterms:modified xsi:type="dcterms:W3CDTF">2015-12-16T16:03:00Z</dcterms:modified>
</cp:coreProperties>
</file>