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AC52F9" w:rsidRDefault="00AC52F9" w:rsidP="00AC52F9">
      <w:pPr>
        <w:pStyle w:val="Akapitzlist"/>
        <w:numPr>
          <w:ilvl w:val="0"/>
          <w:numId w:val="1"/>
        </w:numPr>
        <w:spacing w:after="0"/>
      </w:pPr>
      <w:r>
        <w:t>Wątek kliencki – jest to pierwszy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dostępu do danych – będzie on odpowiadał za komunikację z bazą danych przechowującą informacje o grupach i wiadomościach</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lastRenderedPageBreak/>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05pt;height:379.75pt" o:ole="">
            <v:imagedata r:id="rId9" o:title=""/>
          </v:shape>
          <o:OLEObject Type="Embed" ProgID="Visio.Drawing.15" ShapeID="_x0000_i1025" DrawAspect="Content" ObjectID="_1511027532" r:id="rId10"/>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1E1ECF" w:rsidRPr="001E1ECF" w:rsidRDefault="001E1ECF" w:rsidP="001E1ECF">
      <w:r>
        <w:object w:dxaOrig="11316" w:dyaOrig="11353">
          <v:shape id="_x0000_i1031" type="#_x0000_t75" style="width:523.05pt;height:524.45pt" o:ole="">
            <v:imagedata r:id="rId11" o:title=""/>
          </v:shape>
          <o:OLEObject Type="Embed" ProgID="Visio.Drawing.15" ShapeID="_x0000_i1031" DrawAspect="Content" ObjectID="_1511027533" r:id="rId12"/>
        </w:object>
      </w:r>
    </w:p>
    <w:p w:rsidR="00C86095" w:rsidRPr="00C86095" w:rsidRDefault="00C86095" w:rsidP="00C86095"/>
    <w:p w:rsidR="00752392" w:rsidRDefault="00C86095" w:rsidP="00241F07">
      <w:pPr>
        <w:pStyle w:val="Nagwek1"/>
      </w:pPr>
      <w:r>
        <w:object w:dxaOrig="8251" w:dyaOrig="4066">
          <v:shape id="_x0000_i1026" type="#_x0000_t75" style="width:412.25pt;height:217.4pt" o:ole="">
            <v:imagedata r:id="rId13" o:title=""/>
          </v:shape>
          <o:OLEObject Type="Embed" ProgID="Visio.Drawing.15" ShapeID="_x0000_i1026" DrawAspect="Content" ObjectID="_1511027534" r:id="rId14"/>
        </w:object>
      </w:r>
    </w:p>
    <w:p w:rsidR="00C86095" w:rsidRPr="00C86095" w:rsidRDefault="00C86095" w:rsidP="00C86095"/>
    <w:p w:rsidR="00C86095" w:rsidRDefault="00C86095" w:rsidP="00241F07">
      <w:pPr>
        <w:pStyle w:val="Nagwek1"/>
      </w:pPr>
      <w:r>
        <w:object w:dxaOrig="8251" w:dyaOrig="7575">
          <v:shape id="_x0000_i1027" type="#_x0000_t75" style="width:412.25pt;height:377.65pt" o:ole="">
            <v:imagedata r:id="rId15" o:title=""/>
          </v:shape>
          <o:OLEObject Type="Embed" ProgID="Visio.Drawing.15" ShapeID="_x0000_i1027" DrawAspect="Content" ObjectID="_1511027535" r:id="rId16"/>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lastRenderedPageBreak/>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080F07" w:rsidRPr="00F857FB" w:rsidRDefault="00080F07" w:rsidP="00080F07">
      <w:r w:rsidRPr="00F857FB">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&lt;domain&gt;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D655E3"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lastRenderedPageBreak/>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 xml:space="preserve">Serwer wysyła informację o odmowie wykonania żądania. </w:t>
            </w:r>
          </w:p>
        </w:tc>
      </w:tr>
    </w:tbl>
    <w:p w:rsidR="0035411F" w:rsidRPr="00637ADA" w:rsidRDefault="0035411F" w:rsidP="0035411F">
      <w:pPr>
        <w:rPr>
          <w:lang w:val="en-US"/>
        </w:rPr>
      </w:pPr>
    </w:p>
    <w:p w:rsidR="0035411F" w:rsidRPr="00101602" w:rsidRDefault="0035411F" w:rsidP="0035411F">
      <w:r>
        <w:t xml:space="preserve">Każdy typ danych posiada pole okręslające długość danych. Pojęcie długości jest rozumiane zależnie od danej – może być to długość w bajtach, może być to liczba danych zawartych w tej danej (tylko dla danych </w:t>
      </w:r>
      <w:r>
        <w:lastRenderedPageBreak/>
        <w:t>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35411F" w:rsidRDefault="0035411F" w:rsidP="0035411F">
      <w:pPr>
        <w:pStyle w:val="Nagwek2"/>
      </w:pPr>
      <w:r>
        <w:t>9.2 Diagram stanów modułu ClientSession</w:t>
      </w:r>
    </w:p>
    <w:p w:rsidR="0035411F" w:rsidRDefault="0035411F" w:rsidP="00ED6112">
      <w:pPr>
        <w:pStyle w:val="Nagwek1"/>
      </w:pPr>
      <w:r>
        <w:object w:dxaOrig="16777" w:dyaOrig="3480">
          <v:shape id="_x0000_i1028" type="#_x0000_t75" style="width:522.35pt;height:108.7pt" o:ole="">
            <v:imagedata r:id="rId17" o:title=""/>
          </v:shape>
          <o:OLEObject Type="Embed" ProgID="Visio.Drawing.15" ShapeID="_x0000_i1028" DrawAspect="Content" ObjectID="_1511027536" r:id="rId18"/>
        </w:object>
      </w: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Ramka protokołu TCPLayer:</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r>
        <w:object w:dxaOrig="13366" w:dyaOrig="6091">
          <v:shape id="_x0000_i1029" type="#_x0000_t75" style="width:523.05pt;height:238.6pt" o:ole="">
            <v:imagedata r:id="rId20" o:title=""/>
          </v:shape>
          <o:OLEObject Type="Embed" ProgID="Visio.Drawing.15" ShapeID="_x0000_i1029" DrawAspect="Content" ObjectID="_1511027537" r:id="rId21"/>
        </w:object>
      </w:r>
    </w:p>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606389" w:rsidRPr="00080F07">
        <w:rPr>
          <w:lang w:val="en-US"/>
        </w:rPr>
        <w:t xml:space="preserve"> komponentu SessionsListener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Implementacja komponentu SmtpLayer</w:t>
      </w:r>
    </w:p>
    <w:p w:rsidR="00606389" w:rsidRPr="00606389" w:rsidRDefault="00C6559C" w:rsidP="00606389">
      <w:pPr>
        <w:spacing w:after="0"/>
      </w:pPr>
      <w:r>
        <w:t>13</w:t>
      </w:r>
      <w:r w:rsidR="00606389">
        <w:t>.3.2 Implementacja komponentu Cipher</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606389" w:rsidRDefault="00C6559C" w:rsidP="00606389">
      <w:pPr>
        <w:spacing w:after="0"/>
      </w:pPr>
      <w:r>
        <w:t>13</w:t>
      </w:r>
      <w:r w:rsidR="00606389">
        <w:t>.4.4 Implementacja klasy MessagesQueue</w:t>
      </w:r>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zamyka połączenie z klientem i natychmiast zakańcza wszystkie wątki związane z tym połączeniem. </w:t>
      </w:r>
      <w:r w:rsidR="008D3DCE">
        <w:rPr>
          <w:rFonts w:eastAsia="Times New Roman"/>
          <w:color w:val="000000"/>
          <w:szCs w:val="24"/>
          <w:lang w:eastAsia="pl-PL"/>
        </w:rPr>
        <w:t>Klient zostaje także zablokowany.</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A74FBE"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r w:rsidR="0039393E">
        <w:rPr>
          <w:rFonts w:eastAsia="Times New Roman"/>
          <w:color w:val="000000"/>
          <w:szCs w:val="24"/>
          <w:lang w:eastAsia="pl-PL"/>
        </w:rPr>
        <w:br/>
      </w:r>
      <w:r w:rsidR="008D3DCE">
        <w:rPr>
          <w:rFonts w:eastAsia="Times New Roman"/>
          <w:b/>
          <w:color w:val="000000"/>
          <w:szCs w:val="24"/>
          <w:lang w:eastAsia="pl-PL"/>
        </w:rPr>
        <w:t>14.6</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8D3DCE" w:rsidP="00606389">
      <w:pPr>
        <w:spacing w:after="0"/>
        <w:rPr>
          <w:rFonts w:eastAsia="Times New Roman"/>
          <w:color w:val="000000"/>
          <w:szCs w:val="24"/>
          <w:lang w:eastAsia="pl-PL"/>
        </w:rPr>
      </w:pPr>
      <w:r>
        <w:rPr>
          <w:rFonts w:eastAsia="Times New Roman"/>
          <w:b/>
          <w:color w:val="000000"/>
          <w:szCs w:val="24"/>
          <w:lang w:eastAsia="pl-PL"/>
        </w:rPr>
        <w:t>14.7</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14.8</w:t>
      </w:r>
      <w:r w:rsidR="00C71CF6" w:rsidRPr="00C71CF6">
        <w:rPr>
          <w:rFonts w:eastAsia="Times New Roman"/>
          <w:b/>
          <w:color w:val="000000"/>
          <w:szCs w:val="24"/>
          <w:lang w:eastAsia="pl-PL"/>
        </w:rPr>
        <w:t xml:space="preserve"> Nagłe wyłączenie systemu</w:t>
      </w:r>
    </w:p>
    <w:p w:rsidR="00FB5E2F" w:rsidRPr="00C71CF6" w:rsidRDefault="00C71CF6" w:rsidP="00606389">
      <w:pPr>
        <w:spacing w:after="0"/>
        <w:rPr>
          <w:rFonts w:eastAsia="Times New Roman"/>
          <w:color w:val="000000"/>
          <w:szCs w:val="24"/>
          <w:lang w:eastAsia="pl-PL"/>
        </w:rPr>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r w:rsidR="0039393E" w:rsidRPr="00C71CF6">
        <w:rPr>
          <w:rFonts w:eastAsia="Times New Roman"/>
          <w:b/>
          <w:color w:val="000000"/>
          <w:szCs w:val="24"/>
          <w:lang w:eastAsia="pl-PL"/>
        </w:rPr>
        <w:br/>
      </w:r>
    </w:p>
    <w:p w:rsidR="00F13857"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6</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700E9" w:rsidRDefault="00F13857" w:rsidP="00606389">
      <w:pPr>
        <w:spacing w:after="0"/>
        <w:rPr>
          <w:rFonts w:asciiTheme="majorHAnsi" w:hAnsiTheme="majorHAnsi"/>
          <w:color w:val="4472C4" w:themeColor="accent5"/>
          <w:sz w:val="32"/>
          <w:szCs w:val="32"/>
        </w:rPr>
      </w:pPr>
      <w:r>
        <w:object w:dxaOrig="7606" w:dyaOrig="7426">
          <v:shape id="_x0000_i1030" type="#_x0000_t75" style="width:380.45pt;height:370.6pt" o:ole="">
            <v:imagedata r:id="rId24" o:title=""/>
          </v:shape>
          <o:OLEObject Type="Embed" ProgID="Visio.Drawing.15" ShapeID="_x0000_i1030" DrawAspect="Content" ObjectID="_1511027538" r:id="rId25"/>
        </w:object>
      </w: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BB0" w:rsidRDefault="00794BB0" w:rsidP="00C66AA3">
      <w:pPr>
        <w:spacing w:after="0" w:line="240" w:lineRule="auto"/>
      </w:pPr>
      <w:r>
        <w:separator/>
      </w:r>
    </w:p>
  </w:endnote>
  <w:endnote w:type="continuationSeparator" w:id="0">
    <w:p w:rsidR="00794BB0" w:rsidRDefault="00794BB0"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BB0" w:rsidRDefault="00794BB0" w:rsidP="00C66AA3">
      <w:pPr>
        <w:spacing w:after="0" w:line="240" w:lineRule="auto"/>
      </w:pPr>
      <w:r>
        <w:separator/>
      </w:r>
    </w:p>
  </w:footnote>
  <w:footnote w:type="continuationSeparator" w:id="0">
    <w:p w:rsidR="00794BB0" w:rsidRDefault="00794BB0"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footnotePr>
    <w:footnote w:id="-1"/>
    <w:footnote w:id="0"/>
  </w:footnotePr>
  <w:endnotePr>
    <w:endnote w:id="-1"/>
    <w:endnote w:id="0"/>
  </w:endnotePr>
  <w:compat/>
  <w:rsids>
    <w:rsidRoot w:val="000F1563"/>
    <w:rsid w:val="00002D2D"/>
    <w:rsid w:val="00026148"/>
    <w:rsid w:val="0005729A"/>
    <w:rsid w:val="00073D55"/>
    <w:rsid w:val="00080F07"/>
    <w:rsid w:val="00084463"/>
    <w:rsid w:val="000D2F5B"/>
    <w:rsid w:val="000F1563"/>
    <w:rsid w:val="00101602"/>
    <w:rsid w:val="00104375"/>
    <w:rsid w:val="001070A9"/>
    <w:rsid w:val="00140FDE"/>
    <w:rsid w:val="0019512D"/>
    <w:rsid w:val="001B4374"/>
    <w:rsid w:val="001C0518"/>
    <w:rsid w:val="001E1ECF"/>
    <w:rsid w:val="00200916"/>
    <w:rsid w:val="0021008A"/>
    <w:rsid w:val="002354C8"/>
    <w:rsid w:val="00241F07"/>
    <w:rsid w:val="00273D7C"/>
    <w:rsid w:val="002822BD"/>
    <w:rsid w:val="0035411F"/>
    <w:rsid w:val="0036289B"/>
    <w:rsid w:val="003700E9"/>
    <w:rsid w:val="00384450"/>
    <w:rsid w:val="00384BEB"/>
    <w:rsid w:val="00393349"/>
    <w:rsid w:val="0039393E"/>
    <w:rsid w:val="003975D5"/>
    <w:rsid w:val="00451AFB"/>
    <w:rsid w:val="00471F3D"/>
    <w:rsid w:val="00480044"/>
    <w:rsid w:val="00481B1E"/>
    <w:rsid w:val="004831A2"/>
    <w:rsid w:val="004C658B"/>
    <w:rsid w:val="004D5363"/>
    <w:rsid w:val="004F1962"/>
    <w:rsid w:val="00503E5D"/>
    <w:rsid w:val="00516F2B"/>
    <w:rsid w:val="00560496"/>
    <w:rsid w:val="00564177"/>
    <w:rsid w:val="00597E84"/>
    <w:rsid w:val="005C071A"/>
    <w:rsid w:val="005C18BE"/>
    <w:rsid w:val="00606389"/>
    <w:rsid w:val="00622B5D"/>
    <w:rsid w:val="00651B9F"/>
    <w:rsid w:val="00662591"/>
    <w:rsid w:val="006F0273"/>
    <w:rsid w:val="00707763"/>
    <w:rsid w:val="00752392"/>
    <w:rsid w:val="00761294"/>
    <w:rsid w:val="007779CC"/>
    <w:rsid w:val="00794BB0"/>
    <w:rsid w:val="007956BA"/>
    <w:rsid w:val="00815E03"/>
    <w:rsid w:val="00822C2C"/>
    <w:rsid w:val="0083259F"/>
    <w:rsid w:val="00855F1A"/>
    <w:rsid w:val="00885423"/>
    <w:rsid w:val="00893466"/>
    <w:rsid w:val="008A670A"/>
    <w:rsid w:val="008D3DCE"/>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E75CAC"/>
    <w:rsid w:val="00EA18EC"/>
    <w:rsid w:val="00EA4EE7"/>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91AF-A7E2-4831-AB5A-E56F359A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12</Pages>
  <Words>2480</Words>
  <Characters>14883</Characters>
  <Application>Microsoft Office Word</Application>
  <DocSecurity>0</DocSecurity>
  <Lines>124</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34</cp:revision>
  <dcterms:created xsi:type="dcterms:W3CDTF">2015-11-30T02:51:00Z</dcterms:created>
  <dcterms:modified xsi:type="dcterms:W3CDTF">2015-12-07T20:05:00Z</dcterms:modified>
</cp:coreProperties>
</file>