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w:t>
      </w:r>
      <w:bookmarkStart w:id="0" w:name="_GoBack"/>
      <w:bookmarkEnd w:id="0"/>
      <w:r>
        <w:t>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w:t>
      </w:r>
      <w:r w:rsidR="00AA5847">
        <w:t>8</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080F07" w:rsidRPr="00930574" w:rsidRDefault="00C6559C" w:rsidP="00E76E05">
      <w:pPr>
        <w:pStyle w:val="Nagwek1"/>
      </w:pPr>
      <w:r>
        <w:t>8</w:t>
      </w:r>
      <w:r w:rsidR="00E75CAC">
        <w:t>. Opis protokołu SMTP</w:t>
      </w:r>
    </w:p>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99292D" w:rsidRPr="00F857FB" w:rsidRDefault="00080F07" w:rsidP="00080F07">
      <w:r w:rsidRPr="00F857FB">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35411F" w:rsidRPr="00080F07" w:rsidRDefault="0035411F" w:rsidP="0035411F">
      <w:pPr>
        <w:pStyle w:val="Nagwek1"/>
        <w:rPr>
          <w:lang w:val="en-US"/>
        </w:rPr>
      </w:pPr>
      <w:r w:rsidRPr="00080F07">
        <w:rPr>
          <w:lang w:val="en-US"/>
        </w:rPr>
        <w:lastRenderedPageBreak/>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957E89"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 xml:space="preserve">GRPID, GRPNAME, {ADDRID, </w:t>
            </w:r>
            <w:r>
              <w:rPr>
                <w:rFonts w:ascii="Consolas" w:hAnsi="Consolas" w:cs="Consolas"/>
                <w:lang w:val="en-US"/>
              </w:rPr>
              <w:lastRenderedPageBreak/>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GRPID, 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ERRLOGIN</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692D6B" w:rsidP="00F64BB0">
            <w:pPr>
              <w:rPr>
                <w:rFonts w:ascii="Consolas" w:hAnsi="Consolas" w:cs="Consolas"/>
              </w:rPr>
            </w:pPr>
            <w:r>
              <w:rPr>
                <w:rFonts w:ascii="Consolas" w:hAnsi="Consolas" w:cs="Consolas"/>
              </w:rPr>
              <w:t>ERRLOGIN</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B39FF">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w:t>
            </w:r>
            <w:r>
              <w:rPr>
                <w:rFonts w:ascii="Consolas" w:hAnsi="Consolas" w:cs="Consolas"/>
              </w:rPr>
              <w:t>8</w:t>
            </w:r>
          </w:p>
        </w:tc>
        <w:tc>
          <w:tcPr>
            <w:tcW w:w="1932" w:type="dxa"/>
            <w:gridSpan w:val="2"/>
          </w:tcPr>
          <w:p w:rsidR="00B546CA" w:rsidRPr="0005729A" w:rsidRDefault="00B546CA" w:rsidP="00B546CA">
            <w:pPr>
              <w:rPr>
                <w:rFonts w:ascii="Consolas" w:hAnsi="Consolas" w:cs="Consolas"/>
              </w:rPr>
            </w:pPr>
            <w:r>
              <w:rPr>
                <w:rFonts w:ascii="Consolas" w:hAnsi="Consolas" w:cs="Consolas"/>
              </w:rPr>
              <w:t>ERR</w:t>
            </w:r>
            <w:r>
              <w:rPr>
                <w:rFonts w:ascii="Consolas" w:hAnsi="Consolas" w:cs="Consolas"/>
              </w:rPr>
              <w:t>SERVUNAV</w:t>
            </w:r>
          </w:p>
        </w:tc>
        <w:tc>
          <w:tcPr>
            <w:tcW w:w="1206" w:type="dxa"/>
            <w:gridSpan w:val="2"/>
          </w:tcPr>
          <w:p w:rsidR="00B546CA" w:rsidRPr="0005729A" w:rsidRDefault="00B546CA" w:rsidP="005B39FF">
            <w:pPr>
              <w:rPr>
                <w:rFonts w:ascii="Consolas" w:hAnsi="Consolas" w:cs="Consolas"/>
              </w:rPr>
            </w:pPr>
            <w:r>
              <w:rPr>
                <w:rFonts w:ascii="Consolas" w:hAnsi="Consolas" w:cs="Consolas"/>
              </w:rPr>
              <w:t>Serwer</w:t>
            </w:r>
          </w:p>
        </w:tc>
        <w:tc>
          <w:tcPr>
            <w:tcW w:w="1534" w:type="dxa"/>
            <w:gridSpan w:val="2"/>
          </w:tcPr>
          <w:p w:rsidR="00B546CA" w:rsidRPr="0005729A" w:rsidRDefault="00B546CA" w:rsidP="005B39FF">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w:t>
            </w:r>
            <w:r>
              <w:rPr>
                <w:rFonts w:ascii="Consolas" w:hAnsi="Consolas" w:cs="Consolas"/>
              </w:rPr>
              <w:t>6</w:t>
            </w:r>
          </w:p>
        </w:tc>
        <w:tc>
          <w:tcPr>
            <w:tcW w:w="4168" w:type="dxa"/>
          </w:tcPr>
          <w:p w:rsidR="00B546CA" w:rsidRPr="00073D55" w:rsidRDefault="00B546CA" w:rsidP="005B39FF">
            <w:pPr>
              <w:rPr>
                <w:rFonts w:ascii="Consolas" w:hAnsi="Consolas" w:cs="Consolas"/>
                <w:lang w:val="en-US"/>
              </w:rPr>
            </w:pPr>
            <w:r>
              <w:rPr>
                <w:rFonts w:ascii="Consolas" w:hAnsi="Consolas" w:cs="Consolas"/>
                <w:lang w:val="en-US"/>
              </w:rPr>
              <w:t>-</w:t>
            </w:r>
          </w:p>
        </w:tc>
      </w:tr>
      <w:tr w:rsidR="00B546CA" w:rsidRPr="00902910" w:rsidTr="005B39FF">
        <w:tc>
          <w:tcPr>
            <w:tcW w:w="1008" w:type="dxa"/>
            <w:vMerge/>
          </w:tcPr>
          <w:p w:rsidR="00B546CA" w:rsidRPr="0005729A" w:rsidRDefault="00B546CA" w:rsidP="005B39FF">
            <w:pPr>
              <w:rPr>
                <w:rFonts w:ascii="Consolas" w:hAnsi="Consolas" w:cs="Consolas"/>
              </w:rPr>
            </w:pPr>
          </w:p>
        </w:tc>
        <w:tc>
          <w:tcPr>
            <w:tcW w:w="9674" w:type="dxa"/>
            <w:gridSpan w:val="9"/>
          </w:tcPr>
          <w:p w:rsidR="00B546CA" w:rsidRPr="00902910" w:rsidRDefault="00B546CA" w:rsidP="005B39FF">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pt;height:133.7pt" o:ole="">
            <v:imagedata r:id="rId9" o:title=""/>
          </v:shape>
          <o:OLEObject Type="Embed" ProgID="Visio.Drawing.15" ShapeID="_x0000_i1025" DrawAspect="Content" ObjectID="_1511283880" r:id="rId10"/>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Będzie on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957E89"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A52027" w:rsidRDefault="00A52027">
                        <w:r>
                          <w:t>1B</w:t>
                        </w:r>
                      </w:p>
                    </w:txbxContent>
                  </v:textbox>
                </v:shape>
              </w:pict>
            </w:r>
            <w:r w:rsidR="00483C47">
              <w:t>Rodzaj kodowania</w:t>
            </w:r>
          </w:p>
        </w:tc>
        <w:tc>
          <w:tcPr>
            <w:tcW w:w="2126" w:type="dxa"/>
          </w:tcPr>
          <w:p w:rsidR="00483C47" w:rsidRDefault="00957E89"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A52027" w:rsidRDefault="00A52027"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957E89"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A52027">
        <w:t>wszystkich klientów.</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lastRenderedPageBreak/>
        <w:t>10.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624" w:rsidRDefault="003E6624" w:rsidP="00C66AA3">
      <w:pPr>
        <w:spacing w:after="0" w:line="240" w:lineRule="auto"/>
      </w:pPr>
      <w:r>
        <w:separator/>
      </w:r>
    </w:p>
  </w:endnote>
  <w:endnote w:type="continuationSeparator" w:id="0">
    <w:p w:rsidR="003E6624" w:rsidRDefault="003E6624"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624" w:rsidRDefault="003E6624" w:rsidP="00C66AA3">
      <w:pPr>
        <w:spacing w:after="0" w:line="240" w:lineRule="auto"/>
      </w:pPr>
      <w:r>
        <w:separator/>
      </w:r>
    </w:p>
  </w:footnote>
  <w:footnote w:type="continuationSeparator" w:id="0">
    <w:p w:rsidR="003E6624" w:rsidRDefault="003E6624"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72E3D"/>
    <w:rsid w:val="0019512D"/>
    <w:rsid w:val="001B4374"/>
    <w:rsid w:val="001C0518"/>
    <w:rsid w:val="001D534F"/>
    <w:rsid w:val="001E1ECF"/>
    <w:rsid w:val="00200916"/>
    <w:rsid w:val="0021008A"/>
    <w:rsid w:val="00221F59"/>
    <w:rsid w:val="002354C8"/>
    <w:rsid w:val="00241F07"/>
    <w:rsid w:val="00273D7C"/>
    <w:rsid w:val="002822BD"/>
    <w:rsid w:val="0033056C"/>
    <w:rsid w:val="003535F2"/>
    <w:rsid w:val="0035411F"/>
    <w:rsid w:val="0036289B"/>
    <w:rsid w:val="003700E9"/>
    <w:rsid w:val="00380418"/>
    <w:rsid w:val="00384450"/>
    <w:rsid w:val="00384BEB"/>
    <w:rsid w:val="00393349"/>
    <w:rsid w:val="0039393E"/>
    <w:rsid w:val="003975D5"/>
    <w:rsid w:val="003E6624"/>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80333D"/>
    <w:rsid w:val="00815E03"/>
    <w:rsid w:val="00822C2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57E89"/>
    <w:rsid w:val="00986E87"/>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51543"/>
    <w:rsid w:val="00B546CA"/>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3"/>
        <o:r id="V:Rule5" type="connector" idref="#_x0000_s1036"/>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F852C-E893-4AE0-9A9C-B11C1401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10</Pages>
  <Words>2960</Words>
  <Characters>17761</Characters>
  <Application>Microsoft Office Word</Application>
  <DocSecurity>0</DocSecurity>
  <Lines>148</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49</cp:revision>
  <dcterms:created xsi:type="dcterms:W3CDTF">2015-11-30T02:51:00Z</dcterms:created>
  <dcterms:modified xsi:type="dcterms:W3CDTF">2015-12-10T19:18:00Z</dcterms:modified>
</cp:coreProperties>
</file>