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szCs w:val="24"/>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w:t>
      </w:r>
      <w:proofErr w:type="spellStart"/>
      <w:r>
        <w:t>pipe</w:t>
      </w:r>
      <w:proofErr w:type="spellEnd"/>
      <w:r>
        <w:t>).</w:t>
      </w:r>
    </w:p>
    <w:p w:rsidR="00AC52F9" w:rsidRDefault="00AC52F9" w:rsidP="00AC52F9">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AC52F9" w:rsidRDefault="00AC52F9" w:rsidP="00AC52F9">
      <w:pPr>
        <w:pStyle w:val="Akapitzlist"/>
        <w:numPr>
          <w:ilvl w:val="0"/>
          <w:numId w:val="1"/>
        </w:numPr>
        <w:spacing w:after="0"/>
      </w:pPr>
      <w:r>
        <w:t>Wątek kliencki – jest to pierwszy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dostępu do danych – będzie on odpowiadał za komunikację z bazą danych przechowującą informacje o grupach i wiadomościach</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lastRenderedPageBreak/>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 xml:space="preserve">Jako baza danych zostanie wykorzystany MS SQL Server 2014 Standard Edition </w:t>
      </w:r>
      <w:proofErr w:type="spellStart"/>
      <w:r w:rsidR="00CF69D7">
        <w:t>with</w:t>
      </w:r>
      <w:proofErr w:type="spellEnd"/>
      <w:r w:rsidR="00CF69D7">
        <w:t xml:space="preserve"> Service </w:t>
      </w:r>
      <w:proofErr w:type="spellStart"/>
      <w:r w:rsidR="00CF69D7">
        <w:t>Pack</w:t>
      </w:r>
      <w:proofErr w:type="spellEnd"/>
      <w:r w:rsidR="00CF69D7">
        <w:t xml:space="preserve">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4pt;height:380.3pt" o:ole="">
            <v:imagedata r:id="rId7" o:title=""/>
          </v:shape>
          <o:OLEObject Type="Embed" ProgID="Visio.Drawing.15" ShapeID="_x0000_i1025" DrawAspect="Content" ObjectID="_1510920650" r:id="rId8"/>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C413D8">
        <w:t>hamia obiekty SessionsListener,</w:t>
      </w:r>
      <w:r w:rsidR="00C86095">
        <w:t xml:space="preserve"> 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86095" w:rsidRPr="00C86095" w:rsidRDefault="00C86095" w:rsidP="00C86095">
      <w:r>
        <w:object w:dxaOrig="11310" w:dyaOrig="10410">
          <v:shape id="_x0000_i1026" type="#_x0000_t75" style="width:524.3pt;height:475.4pt" o:ole="">
            <v:imagedata r:id="rId9" o:title=""/>
          </v:shape>
          <o:OLEObject Type="Embed" ProgID="Visio.Drawing.15" ShapeID="_x0000_i1026" DrawAspect="Content" ObjectID="_1510920651" r:id="rId10"/>
        </w:object>
      </w:r>
    </w:p>
    <w:p w:rsidR="00752392" w:rsidRDefault="00C86095" w:rsidP="00241F07">
      <w:pPr>
        <w:pStyle w:val="Nagwek1"/>
      </w:pPr>
      <w:r>
        <w:object w:dxaOrig="8251" w:dyaOrig="4066">
          <v:shape id="_x0000_i1027" type="#_x0000_t75" style="width:412.6pt;height:217.85pt" o:ole="">
            <v:imagedata r:id="rId11" o:title=""/>
          </v:shape>
          <o:OLEObject Type="Embed" ProgID="Visio.Drawing.15" ShapeID="_x0000_i1027" DrawAspect="Content" ObjectID="_1510920652" r:id="rId12"/>
        </w:object>
      </w:r>
    </w:p>
    <w:p w:rsidR="00C86095" w:rsidRPr="00C86095" w:rsidRDefault="00C86095" w:rsidP="00C86095"/>
    <w:p w:rsidR="00C86095" w:rsidRDefault="00C86095" w:rsidP="00241F07">
      <w:pPr>
        <w:pStyle w:val="Nagwek1"/>
      </w:pPr>
      <w:r>
        <w:object w:dxaOrig="8251" w:dyaOrig="7575">
          <v:shape id="_x0000_i1028" type="#_x0000_t75" style="width:412.6pt;height:377.55pt" o:ole="">
            <v:imagedata r:id="rId13" o:title=""/>
          </v:shape>
          <o:OLEObject Type="Embed" ProgID="Visio.Drawing.15" ShapeID="_x0000_i1028" DrawAspect="Content" ObjectID="_1510920653" r:id="rId14"/>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CD4D2B" w:rsidRDefault="00080F07" w:rsidP="00080F07">
      <w:pPr>
        <w:pStyle w:val="todo"/>
        <w:rPr>
          <w:rFonts w:asciiTheme="majorHAnsi" w:hAnsiTheme="majorHAnsi"/>
          <w:b w:val="0"/>
          <w:color w:val="000000"/>
        </w:rPr>
      </w:pPr>
      <w:r w:rsidRPr="00CD4D2B">
        <w:rPr>
          <w:rFonts w:asciiTheme="majorHAnsi" w:hAnsiTheme="majorHAnsi"/>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CD4D2B">
        <w:rPr>
          <w:rFonts w:asciiTheme="majorHAnsi" w:hAnsiTheme="majorHAnsi"/>
          <w:b w:val="0"/>
          <w:color w:val="000000" w:themeColor="text1"/>
        </w:rPr>
        <w:t>full-duplex</w:t>
      </w:r>
      <w:proofErr w:type="spellEnd"/>
      <w:r w:rsidRPr="00CD4D2B">
        <w:rPr>
          <w:rFonts w:asciiTheme="majorHAnsi" w:hAnsiTheme="majorHAnsi"/>
          <w:b w:val="0"/>
          <w:color w:val="000000" w:themeColor="text1"/>
        </w:rPr>
        <w:t xml:space="preserve">  które korzysta z domyślnego portu o numerze 25.  Protokół SMTP składa się z 7-bitowych ciągów znaków ASCII , które są transmitowane </w:t>
      </w:r>
      <w:bookmarkStart w:id="0" w:name="_Toc442413712"/>
      <w:r w:rsidRPr="00CD4D2B">
        <w:rPr>
          <w:rFonts w:asciiTheme="majorHAnsi" w:hAnsiTheme="majorHAnsi"/>
          <w:b w:val="0"/>
          <w:color w:val="000000" w:themeColor="text1"/>
        </w:rPr>
        <w:t xml:space="preserve">za pomocą protokołu TCP  w </w:t>
      </w:r>
      <w:r w:rsidRPr="00CD4D2B">
        <w:rPr>
          <w:rFonts w:asciiTheme="majorHAnsi" w:hAnsiTheme="majorHAnsi"/>
          <w:b w:val="0"/>
          <w:color w:val="000000"/>
        </w:rPr>
        <w:t>strumieniu danych podzielonym na 8-bitowe oktety</w:t>
      </w:r>
      <w:bookmarkEnd w:id="0"/>
      <w:r w:rsidRPr="00CD4D2B">
        <w:rPr>
          <w:rFonts w:asciiTheme="majorHAnsi" w:hAnsiTheme="majorHAnsi"/>
          <w:b w:val="0"/>
          <w:color w:val="000000"/>
        </w:rPr>
        <w:t xml:space="preserve">.  Każdy znak jest przesyłany jako 8-bitowy ciąg z najstarszym bitem ustawionym na 0.  </w:t>
      </w:r>
    </w:p>
    <w:p w:rsidR="00080F07" w:rsidRPr="00CD4D2B" w:rsidRDefault="00080F07" w:rsidP="00080F07">
      <w:pPr>
        <w:rPr>
          <w:rFonts w:asciiTheme="majorHAnsi" w:hAnsiTheme="majorHAnsi"/>
          <w:b/>
        </w:rPr>
      </w:pPr>
      <w:r w:rsidRPr="00CD4D2B">
        <w:rPr>
          <w:rFonts w:asciiTheme="majorHAnsi" w:hAnsiTheme="majorHAnsi"/>
          <w:b/>
        </w:rPr>
        <w:t>Schemat działania połączenia:</w:t>
      </w:r>
    </w:p>
    <w:p w:rsidR="00080F07" w:rsidRPr="00CD4D2B" w:rsidRDefault="00080F07" w:rsidP="00080F07">
      <w:pPr>
        <w:rPr>
          <w:rFonts w:asciiTheme="majorHAnsi" w:hAnsiTheme="majorHAnsi"/>
        </w:rPr>
      </w:pPr>
      <w:r w:rsidRPr="00CD4D2B">
        <w:rPr>
          <w:rFonts w:asciiTheme="majorHAnsi" w:hAnsiTheme="majorHAnsi"/>
        </w:rPr>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CD4D2B" w:rsidRDefault="00080F07" w:rsidP="00080F07">
      <w:pPr>
        <w:rPr>
          <w:rFonts w:asciiTheme="majorHAnsi" w:hAnsiTheme="majorHAnsi"/>
        </w:rPr>
      </w:pPr>
      <w:r w:rsidRPr="00CD4D2B">
        <w:rPr>
          <w:rFonts w:asciiTheme="majorHAnsi" w:hAnsiTheme="majorHAnsi"/>
        </w:rPr>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CD4D2B">
        <w:rPr>
          <w:rFonts w:asciiTheme="majorHAnsi" w:hAnsiTheme="majorHAnsi"/>
        </w:rPr>
        <w:t>input</w:t>
      </w:r>
      <w:proofErr w:type="spellEnd"/>
      <w:r w:rsidRPr="00CD4D2B">
        <w:rPr>
          <w:rFonts w:asciiTheme="majorHAnsi" w:hAnsiTheme="majorHAnsi"/>
        </w:rPr>
        <w:t xml:space="preserve"> i określa ciąg znaków odpowiadających zakończeniu transmisji.  Zazwyczaj tym ciągiem jest linia zawierająca tylko kropkę  co odpowiada podanej sekwencji znaków - &lt;</w:t>
      </w:r>
      <w:proofErr w:type="spellStart"/>
      <w:r w:rsidRPr="00CD4D2B">
        <w:rPr>
          <w:rFonts w:asciiTheme="majorHAnsi" w:hAnsiTheme="majorHAnsi"/>
        </w:rPr>
        <w:t>CR&gt;&lt;LF</w:t>
      </w:r>
      <w:proofErr w:type="spellEnd"/>
      <w:r w:rsidRPr="00CD4D2B">
        <w:rPr>
          <w:rFonts w:asciiTheme="majorHAnsi" w:hAnsiTheme="majorHAnsi"/>
        </w:rPr>
        <w:t>&gt;. &lt;</w:t>
      </w:r>
      <w:proofErr w:type="spellStart"/>
      <w:r w:rsidRPr="00CD4D2B">
        <w:rPr>
          <w:rFonts w:asciiTheme="majorHAnsi" w:hAnsiTheme="majorHAnsi"/>
        </w:rPr>
        <w:t>CR&gt;&lt;LF</w:t>
      </w:r>
      <w:proofErr w:type="spellEnd"/>
      <w:r w:rsidRPr="00CD4D2B">
        <w:rPr>
          <w:rFonts w:asciiTheme="majorHAnsi" w:hAnsiTheme="majorHAnsi"/>
        </w:rPr>
        <w:t>&gt;.</w:t>
      </w:r>
    </w:p>
    <w:p w:rsidR="00080F07" w:rsidRPr="00CD4D2B" w:rsidRDefault="00080F07" w:rsidP="00080F07">
      <w:pPr>
        <w:rPr>
          <w:rFonts w:asciiTheme="majorHAnsi" w:hAnsiTheme="majorHAnsi"/>
        </w:rPr>
      </w:pPr>
      <w:r w:rsidRPr="00CD4D2B">
        <w:rPr>
          <w:rFonts w:asciiTheme="majorHAnsi" w:hAnsiTheme="majorHAnsi"/>
        </w:rPr>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CD4D2B" w:rsidRDefault="00080F07" w:rsidP="00080F07">
      <w:pPr>
        <w:rPr>
          <w:rFonts w:asciiTheme="majorHAnsi" w:hAnsiTheme="majorHAnsi"/>
          <w:b/>
        </w:rPr>
      </w:pPr>
      <w:r w:rsidRPr="00CD4D2B">
        <w:rPr>
          <w:rFonts w:asciiTheme="majorHAnsi" w:hAnsiTheme="majorHAnsi"/>
          <w:b/>
        </w:rPr>
        <w:t xml:space="preserve">Składnia podstawowych komend: </w:t>
      </w:r>
    </w:p>
    <w:p w:rsidR="00080F07" w:rsidRPr="00AB6497" w:rsidRDefault="00080F07" w:rsidP="00080F07">
      <w:pPr>
        <w:rPr>
          <w:rFonts w:asciiTheme="majorHAnsi" w:eastAsia="Times New Roman" w:hAnsiTheme="majorHAnsi" w:cs="Courier New"/>
          <w:color w:val="000000"/>
          <w:szCs w:val="24"/>
          <w:lang w:eastAsia="pl-PL"/>
        </w:rPr>
      </w:pPr>
      <w:r w:rsidRPr="00AB6497">
        <w:rPr>
          <w:rFonts w:asciiTheme="majorHAnsi" w:eastAsia="Times New Roman" w:hAnsiTheme="majorHAnsi" w:cs="Courier New"/>
          <w:color w:val="000000"/>
          <w:szCs w:val="24"/>
          <w:lang w:eastAsia="pl-PL"/>
        </w:rPr>
        <w:t>HELO &lt;SP&gt; &lt;</w:t>
      </w:r>
      <w:proofErr w:type="spellStart"/>
      <w:r w:rsidRPr="00AB6497">
        <w:rPr>
          <w:rFonts w:asciiTheme="majorHAnsi" w:eastAsia="Times New Roman" w:hAnsiTheme="majorHAnsi" w:cs="Courier New"/>
          <w:color w:val="000000"/>
          <w:szCs w:val="24"/>
          <w:lang w:eastAsia="pl-PL"/>
        </w:rPr>
        <w:t>domain</w:t>
      </w:r>
      <w:proofErr w:type="spellEnd"/>
      <w:r w:rsidRPr="00AB6497">
        <w:rPr>
          <w:rFonts w:asciiTheme="majorHAnsi" w:eastAsia="Times New Roman" w:hAnsiTheme="majorHAnsi" w:cs="Courier New"/>
          <w:color w:val="000000"/>
          <w:szCs w:val="24"/>
          <w:lang w:eastAsia="pl-PL"/>
        </w:rPr>
        <w:t>&gt; &lt;CRLF&gt;</w:t>
      </w:r>
    </w:p>
    <w:p w:rsidR="00080F07" w:rsidRPr="00CD4D2B" w:rsidRDefault="00080F07" w:rsidP="00080F07">
      <w:pPr>
        <w:rPr>
          <w:rFonts w:asciiTheme="majorHAnsi" w:eastAsia="Times New Roman" w:hAnsiTheme="majorHAnsi" w:cs="Courier New"/>
          <w:color w:val="000000"/>
          <w:szCs w:val="24"/>
          <w:lang w:val="en-US" w:eastAsia="pl-PL"/>
        </w:rPr>
      </w:pPr>
      <w:r w:rsidRPr="00CD4D2B">
        <w:rPr>
          <w:rFonts w:asciiTheme="majorHAnsi" w:eastAsia="Times New Roman" w:hAnsiTheme="majorHAnsi" w:cs="Courier New"/>
          <w:color w:val="000000"/>
          <w:szCs w:val="24"/>
          <w:lang w:val="en-US" w:eastAsia="pl-PL"/>
        </w:rPr>
        <w:t>MAIL &lt;SP&gt; FROM:&lt;reverse-path&gt; &lt;CRLF&gt;</w:t>
      </w:r>
    </w:p>
    <w:p w:rsidR="00080F07" w:rsidRPr="00CD4D2B" w:rsidRDefault="00080F07" w:rsidP="00080F07">
      <w:pPr>
        <w:rPr>
          <w:rFonts w:asciiTheme="majorHAnsi" w:eastAsia="Times New Roman" w:hAnsiTheme="majorHAnsi" w:cs="Courier New"/>
          <w:color w:val="000000"/>
          <w:szCs w:val="24"/>
          <w:lang w:val="en-US" w:eastAsia="pl-PL"/>
        </w:rPr>
      </w:pPr>
      <w:r w:rsidRPr="00CD4D2B">
        <w:rPr>
          <w:rFonts w:asciiTheme="majorHAnsi" w:eastAsia="Times New Roman" w:hAnsiTheme="majorHAnsi" w:cs="Courier New"/>
          <w:color w:val="000000"/>
          <w:szCs w:val="24"/>
          <w:lang w:val="en-US" w:eastAsia="pl-PL"/>
        </w:rPr>
        <w:t>RCPT &lt;SP&gt; TO:&lt;forward-path&gt; &lt;CRLF&gt;</w:t>
      </w:r>
    </w:p>
    <w:p w:rsidR="00080F07" w:rsidRDefault="00080F07" w:rsidP="00080F07">
      <w:pPr>
        <w:rPr>
          <w:rFonts w:asciiTheme="majorHAnsi" w:hAnsiTheme="majorHAnsi"/>
          <w:color w:val="000000"/>
          <w:szCs w:val="24"/>
          <w:lang w:val="en-US"/>
        </w:rPr>
      </w:pPr>
      <w:r w:rsidRPr="00CD4D2B">
        <w:rPr>
          <w:rFonts w:asciiTheme="majorHAnsi" w:eastAsia="Times New Roman" w:hAnsiTheme="majorHAnsi" w:cs="Courier New"/>
          <w:color w:val="000000"/>
          <w:szCs w:val="24"/>
          <w:lang w:val="en-US" w:eastAsia="pl-PL"/>
        </w:rPr>
        <w:t>DATA &lt;CRLF&gt;</w:t>
      </w:r>
      <w:r w:rsidRPr="00CD4D2B">
        <w:rPr>
          <w:rFonts w:asciiTheme="majorHAnsi" w:hAnsiTheme="majorHAnsi"/>
          <w:color w:val="000000"/>
          <w:szCs w:val="24"/>
          <w:lang w:val="en-US"/>
        </w:rPr>
        <w:t xml:space="preserve"> </w:t>
      </w:r>
    </w:p>
    <w:p w:rsidR="00080F07" w:rsidRPr="00CD4D2B" w:rsidRDefault="00080F07" w:rsidP="00080F07">
      <w:pPr>
        <w:rPr>
          <w:rFonts w:asciiTheme="majorHAnsi" w:hAnsiTheme="majorHAnsi"/>
          <w:color w:val="000000"/>
          <w:szCs w:val="24"/>
          <w:lang w:val="en-US"/>
        </w:rPr>
      </w:pPr>
      <w:r w:rsidRPr="00CD4D2B">
        <w:rPr>
          <w:rFonts w:asciiTheme="majorHAnsi" w:hAnsiTheme="majorHAnsi"/>
          <w:color w:val="000000"/>
          <w:szCs w:val="24"/>
          <w:lang w:val="en-US"/>
        </w:rPr>
        <w:t>HELP [&lt;SP&gt; &lt;string&gt;] &lt;CRLF&gt;</w:t>
      </w:r>
    </w:p>
    <w:p w:rsidR="00080F07" w:rsidRPr="00AB6497" w:rsidRDefault="00080F07" w:rsidP="00080F07">
      <w:pPr>
        <w:rPr>
          <w:rFonts w:asciiTheme="majorHAnsi" w:hAnsiTheme="majorHAnsi"/>
          <w:color w:val="000000"/>
          <w:szCs w:val="24"/>
          <w:lang w:val="en-US"/>
        </w:rPr>
      </w:pPr>
      <w:r w:rsidRPr="00AB6497">
        <w:rPr>
          <w:rFonts w:asciiTheme="majorHAnsi" w:hAnsiTheme="majorHAnsi"/>
          <w:color w:val="000000"/>
          <w:szCs w:val="24"/>
          <w:lang w:val="en-US"/>
        </w:rPr>
        <w:t>NOOP &lt;CRLF&gt;</w:t>
      </w:r>
    </w:p>
    <w:p w:rsidR="00C413D8" w:rsidRPr="00080F07" w:rsidRDefault="00080F07" w:rsidP="004D5363">
      <w:pPr>
        <w:rPr>
          <w:rFonts w:asciiTheme="majorHAnsi" w:hAnsiTheme="majorHAnsi"/>
          <w:color w:val="000000"/>
          <w:szCs w:val="24"/>
          <w:lang w:val="en-US"/>
        </w:rPr>
      </w:pPr>
      <w:r w:rsidRPr="00AB6497">
        <w:rPr>
          <w:rFonts w:asciiTheme="majorHAnsi" w:hAnsiTheme="majorHAnsi"/>
          <w:color w:val="000000"/>
          <w:szCs w:val="24"/>
          <w:lang w:val="en-US"/>
        </w:rPr>
        <w:t>QUIT &lt;CRLF&gt;</w:t>
      </w:r>
    </w:p>
    <w:p w:rsidR="00E75CAC" w:rsidRPr="00080F07" w:rsidRDefault="00C6559C" w:rsidP="00EA4EE7">
      <w:pPr>
        <w:pStyle w:val="Nagwek1"/>
        <w:rPr>
          <w:lang w:val="en-US"/>
        </w:rPr>
      </w:pPr>
      <w:r w:rsidRPr="00080F07">
        <w:rPr>
          <w:lang w:val="en-US"/>
        </w:rPr>
        <w:t>9</w:t>
      </w:r>
      <w:r w:rsidR="00E75CAC" w:rsidRPr="00080F07">
        <w:rPr>
          <w:lang w:val="en-US"/>
        </w:rPr>
        <w:t xml:space="preserve">. </w:t>
      </w:r>
      <w:proofErr w:type="spellStart"/>
      <w:r w:rsidR="00E75CAC" w:rsidRPr="00080F07">
        <w:rPr>
          <w:lang w:val="en-US"/>
        </w:rPr>
        <w:t>Opis</w:t>
      </w:r>
      <w:proofErr w:type="spellEnd"/>
      <w:r w:rsidR="00E75CAC" w:rsidRPr="00080F07">
        <w:rPr>
          <w:lang w:val="en-US"/>
        </w:rPr>
        <w:t xml:space="preserve"> </w:t>
      </w:r>
      <w:proofErr w:type="spellStart"/>
      <w:r w:rsidR="0083259F" w:rsidRPr="00080F07">
        <w:rPr>
          <w:lang w:val="en-US"/>
        </w:rPr>
        <w:t>autor</w:t>
      </w:r>
      <w:r w:rsidR="00ED6112" w:rsidRPr="00080F07">
        <w:rPr>
          <w:lang w:val="en-US"/>
        </w:rPr>
        <w:t>skiego</w:t>
      </w:r>
      <w:proofErr w:type="spellEnd"/>
      <w:r w:rsidR="00ED6112" w:rsidRPr="00080F07">
        <w:rPr>
          <w:lang w:val="en-US"/>
        </w:rPr>
        <w:t xml:space="preserve"> </w:t>
      </w:r>
      <w:proofErr w:type="spellStart"/>
      <w:r w:rsidR="00E75CAC" w:rsidRPr="00080F07">
        <w:rPr>
          <w:lang w:val="en-US"/>
        </w:rPr>
        <w:t>protokołu</w:t>
      </w:r>
      <w:proofErr w:type="spellEnd"/>
      <w:r w:rsidR="00ED6112" w:rsidRPr="00080F07">
        <w:rPr>
          <w:lang w:val="en-US"/>
        </w:rPr>
        <w:t xml:space="preserve"> o </w:t>
      </w:r>
      <w:proofErr w:type="spellStart"/>
      <w:r w:rsidR="00ED6112" w:rsidRPr="00080F07">
        <w:rPr>
          <w:lang w:val="en-US"/>
        </w:rPr>
        <w:t>nazwie</w:t>
      </w:r>
      <w:proofErr w:type="spellEnd"/>
      <w:r w:rsidR="00ED6112" w:rsidRPr="00080F07">
        <w:rPr>
          <w:lang w:val="en-US"/>
        </w:rPr>
        <w:t xml:space="preserve"> ASIA (Automated Sen</w:t>
      </w:r>
      <w:r w:rsidR="00273D7C" w:rsidRPr="00080F07">
        <w:rPr>
          <w:lang w:val="en-US"/>
        </w:rPr>
        <w:t>ding Information to Address</w:t>
      </w:r>
      <w:r w:rsidR="00ED6112" w:rsidRPr="00080F07">
        <w:rPr>
          <w:lang w:val="en-US"/>
        </w:rPr>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B84A60"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lastRenderedPageBreak/>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73C34" w:rsidRDefault="00D73C34" w:rsidP="00101602"/>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D73C34" w:rsidRDefault="00D73C34" w:rsidP="001C0518"/>
    <w:p w:rsidR="001C0518" w:rsidRPr="001C0518" w:rsidRDefault="002822BD" w:rsidP="001C0518">
      <w:r>
        <w:lastRenderedPageBreak/>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a:stretch>
                      <a:fillRect/>
                    </a:stretch>
                  </pic:blipFill>
                  <pic:spPr>
                    <a:xfrm>
                      <a:off x="0" y="0"/>
                      <a:ext cx="6424930" cy="4227830"/>
                    </a:xfrm>
                    <a:prstGeom prst="rect">
                      <a:avLst/>
                    </a:prstGeom>
                  </pic:spPr>
                </pic:pic>
              </a:graphicData>
            </a:graphic>
          </wp:anchor>
        </w:drawing>
      </w:r>
      <w:r w:rsidR="00C6559C">
        <w:t>10</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a:stretch>
                      <a:fillRect/>
                    </a:stretch>
                  </pic:blipFill>
                  <pic:spPr>
                    <a:xfrm>
                      <a:off x="0" y="0"/>
                      <a:ext cx="6026148" cy="3949096"/>
                    </a:xfrm>
                    <a:prstGeom prst="rect">
                      <a:avLst/>
                    </a:prstGeom>
                  </pic:spPr>
                </pic:pic>
              </a:graphicData>
            </a:graphic>
          </wp:inline>
        </w:drawing>
      </w:r>
    </w:p>
    <w:p w:rsidR="00026148" w:rsidRPr="00026148" w:rsidRDefault="00026148" w:rsidP="00026148"/>
    <w:p w:rsidR="00ED6112" w:rsidRDefault="00C6559C" w:rsidP="00ED6112">
      <w:pPr>
        <w:pStyle w:val="Nagwek1"/>
      </w:pPr>
      <w:r>
        <w:t>11</w:t>
      </w:r>
      <w:r w:rsidR="00ED6112">
        <w:t>. Diagram stanów sesji klienta</w:t>
      </w:r>
    </w:p>
    <w:p w:rsidR="00606389" w:rsidRPr="00606389" w:rsidRDefault="00606389" w:rsidP="00606389">
      <w:r>
        <w:object w:dxaOrig="13366" w:dyaOrig="6091">
          <v:shape id="_x0000_i1029" type="#_x0000_t75" style="width:523.4pt;height:239.1pt" o:ole="">
            <v:imagedata r:id="rId17" o:title=""/>
          </v:shape>
          <o:OLEObject Type="Embed" ProgID="Visio.Drawing.15" ShapeID="_x0000_i1029" DrawAspect="Content" ObjectID="_1510920654" r:id="rId18"/>
        </w:object>
      </w:r>
    </w:p>
    <w:p w:rsidR="00ED6112" w:rsidRDefault="00C6559C" w:rsidP="00606389">
      <w:pPr>
        <w:pStyle w:val="Nagwek1"/>
        <w:spacing w:before="0"/>
      </w:pPr>
      <w:r>
        <w:t>12</w:t>
      </w:r>
      <w:r w:rsidR="00ED6112">
        <w:t>.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606389" w:rsidRPr="00606389" w:rsidRDefault="00606389" w:rsidP="00606389">
      <w:pPr>
        <w:spacing w:after="0"/>
      </w:pPr>
    </w:p>
    <w:p w:rsidR="005C071A" w:rsidRDefault="00C6559C" w:rsidP="00606389">
      <w:pPr>
        <w:pStyle w:val="Nagwek1"/>
        <w:spacing w:before="0"/>
      </w:pPr>
      <w:r>
        <w:t>13</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 xml:space="preserve">.1.1 Implementacja komponentu </w:t>
      </w:r>
      <w:proofErr w:type="spellStart"/>
      <w:r w:rsidR="00606389" w:rsidRPr="00080F07">
        <w:t>TcpLayer</w:t>
      </w:r>
      <w:proofErr w:type="spellEnd"/>
    </w:p>
    <w:p w:rsidR="00606389" w:rsidRPr="00080F07" w:rsidRDefault="00C6559C" w:rsidP="00606389">
      <w:pPr>
        <w:spacing w:after="0"/>
      </w:pPr>
      <w:r w:rsidRPr="00080F07">
        <w:t>13</w:t>
      </w:r>
      <w:r w:rsidR="00606389" w:rsidRPr="00080F07">
        <w:t xml:space="preserve">.1.2 Implementacja </w:t>
      </w:r>
      <w:proofErr w:type="spellStart"/>
      <w:r w:rsidR="00606389" w:rsidRPr="00080F07">
        <w:t>koponentu</w:t>
      </w:r>
      <w:proofErr w:type="spellEnd"/>
      <w:r w:rsidR="00606389" w:rsidRPr="00080F07">
        <w:t xml:space="preserve"> </w:t>
      </w:r>
      <w:proofErr w:type="spellStart"/>
      <w:r w:rsidR="00606389" w:rsidRPr="00080F07">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 xml:space="preserve">.2.1 </w:t>
      </w:r>
      <w:proofErr w:type="spellStart"/>
      <w:r w:rsidR="00606389">
        <w:t>Implmenetacja</w:t>
      </w:r>
      <w:proofErr w:type="spellEnd"/>
      <w:r w:rsidR="00606389">
        <w:t xml:space="preserve"> komponentu DAL</w:t>
      </w:r>
    </w:p>
    <w:p w:rsidR="00606389" w:rsidRPr="00080F07" w:rsidRDefault="00C6559C" w:rsidP="00606389">
      <w:pPr>
        <w:spacing w:after="0"/>
        <w:rPr>
          <w:lang w:val="en-US"/>
        </w:rPr>
      </w:pPr>
      <w:r w:rsidRPr="00080F07">
        <w:rPr>
          <w:lang w:val="en-US"/>
        </w:rPr>
        <w:t>13</w:t>
      </w:r>
      <w:r w:rsidR="00606389" w:rsidRPr="00080F07">
        <w:rPr>
          <w:lang w:val="en-US"/>
        </w:rPr>
        <w:t xml:space="preserve">.2.2 </w:t>
      </w:r>
      <w:proofErr w:type="spellStart"/>
      <w:r w:rsidR="00606389" w:rsidRPr="00080F0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SessionsListener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606389" w:rsidRPr="00080F0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SmtpLayer</w:t>
      </w:r>
      <w:proofErr w:type="spellEnd"/>
    </w:p>
    <w:p w:rsidR="00606389" w:rsidRPr="00606389" w:rsidRDefault="00C6559C" w:rsidP="00606389">
      <w:pPr>
        <w:spacing w:after="0"/>
      </w:pPr>
      <w:r>
        <w:t>13</w:t>
      </w:r>
      <w:r w:rsidR="00606389">
        <w:t xml:space="preserve">.3.2 Implementacja komponentu </w:t>
      </w:r>
      <w:proofErr w:type="spellStart"/>
      <w:r w:rsidR="00606389">
        <w:t>Cipher</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606389" w:rsidRDefault="00C6559C" w:rsidP="00606389">
      <w:pPr>
        <w:spacing w:after="0"/>
      </w:pPr>
      <w:r>
        <w:t>13</w:t>
      </w:r>
      <w:r w:rsidR="00606389">
        <w:t xml:space="preserve">.4.4 Implementacja klasy </w:t>
      </w:r>
      <w:proofErr w:type="spellStart"/>
      <w:r w:rsidR="00606389">
        <w:t>MessagesQueue</w:t>
      </w:r>
      <w:proofErr w:type="spellEnd"/>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14</w:t>
      </w:r>
      <w:r w:rsidR="003700E9" w:rsidRPr="004D5363">
        <w:rPr>
          <w:rFonts w:asciiTheme="majorHAnsi" w:hAnsiTheme="majorHAnsi"/>
          <w:color w:val="4472C4" w:themeColor="accent5"/>
          <w:sz w:val="32"/>
          <w:szCs w:val="32"/>
        </w:rPr>
        <w:t>. Analiza sytuacji krytycznych i propozycje ich rozwiązania</w:t>
      </w:r>
    </w:p>
    <w:p w:rsidR="003700E9" w:rsidRPr="004D5363" w:rsidRDefault="003700E9" w:rsidP="00606389">
      <w:pPr>
        <w:spacing w:after="0"/>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C6559C" w:rsidRPr="00C6559C" w:rsidRDefault="00C6559C" w:rsidP="00606389">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w:t>
      </w:r>
      <w:r w:rsidRPr="00C6559C">
        <w:rPr>
          <w:rFonts w:eastAsia="Times New Roman"/>
          <w:color w:val="000000"/>
          <w:szCs w:val="24"/>
          <w:lang w:eastAsia="pl-PL"/>
        </w:rPr>
        <w:t>błędnych pakietów od klienta następuję natychmiastowe zakończenie połączenia z klientem i zamknięcie wszystkich wątków z nim związanych.</w:t>
      </w:r>
    </w:p>
    <w:p w:rsidR="00C6559C"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C6559C" w:rsidRPr="00C6559C" w:rsidRDefault="00C6559C" w:rsidP="00C6559C">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przekroczenia limitów czasowych przez </w:t>
      </w:r>
      <w:r w:rsidRPr="00C6559C">
        <w:rPr>
          <w:rFonts w:eastAsia="Times New Roman"/>
          <w:color w:val="000000"/>
          <w:szCs w:val="24"/>
          <w:lang w:eastAsia="pl-PL"/>
        </w:rPr>
        <w:t>klienta następuję natychmiastowe zakończenie połączenia z klientem i zamknięcie wszystkich wątków z nim związanych.</w:t>
      </w:r>
    </w:p>
    <w:p w:rsidR="00C6559C" w:rsidRPr="004D5363" w:rsidRDefault="00C6559C" w:rsidP="00606389">
      <w:pPr>
        <w:spacing w:after="0"/>
        <w:rPr>
          <w:rFonts w:eastAsia="Times New Roman"/>
          <w:color w:val="000000"/>
          <w:sz w:val="18"/>
          <w:szCs w:val="18"/>
          <w:lang w:eastAsia="pl-PL"/>
        </w:rPr>
      </w:pP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606389">
      <w:pPr>
        <w:spacing w:after="0"/>
      </w:pPr>
    </w:p>
    <w:p w:rsidR="003700E9"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lastRenderedPageBreak/>
        <w:t>15</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84BEB" w:rsidRPr="004D5363" w:rsidRDefault="00384BEB" w:rsidP="00606389">
      <w:pPr>
        <w:spacing w:after="0"/>
        <w:rPr>
          <w:rFonts w:asciiTheme="majorHAnsi" w:hAnsiTheme="majorHAnsi"/>
          <w:color w:val="4472C4" w:themeColor="accent5"/>
          <w:sz w:val="32"/>
          <w:szCs w:val="32"/>
        </w:rPr>
      </w:pPr>
      <w:r>
        <w:object w:dxaOrig="7606" w:dyaOrig="7426">
          <v:shape id="_x0000_i1030" type="#_x0000_t75" style="width:380.3pt;height:371.1pt" o:ole="">
            <v:imagedata r:id="rId19" o:title=""/>
          </v:shape>
          <o:OLEObject Type="Embed" ProgID="Visio.Drawing.15" ShapeID="_x0000_i1030" DrawAspect="Content" ObjectID="_1510920655" r:id="rId20"/>
        </w:object>
      </w:r>
    </w:p>
    <w:p w:rsidR="00ED6112" w:rsidRPr="00ED6112" w:rsidRDefault="00ED6112" w:rsidP="00606389">
      <w:pPr>
        <w:spacing w:after="0"/>
      </w:pPr>
    </w:p>
    <w:p w:rsidR="006F0273" w:rsidRPr="005C18BE" w:rsidRDefault="006F0273" w:rsidP="00AC52F9">
      <w:pPr>
        <w:spacing w:after="0"/>
      </w:pPr>
      <w:r>
        <w:tab/>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defaultTabStop w:val="708"/>
  <w:hyphenationZone w:val="425"/>
  <w:characterSpacingControl w:val="doNotCompress"/>
  <w:compat/>
  <w:rsids>
    <w:rsidRoot w:val="000F1563"/>
    <w:rsid w:val="00002D2D"/>
    <w:rsid w:val="00026148"/>
    <w:rsid w:val="0005729A"/>
    <w:rsid w:val="00073D55"/>
    <w:rsid w:val="00080F07"/>
    <w:rsid w:val="00084463"/>
    <w:rsid w:val="000D2F5B"/>
    <w:rsid w:val="000F1563"/>
    <w:rsid w:val="00101602"/>
    <w:rsid w:val="001070A9"/>
    <w:rsid w:val="00140FDE"/>
    <w:rsid w:val="0019512D"/>
    <w:rsid w:val="001B4374"/>
    <w:rsid w:val="001C0518"/>
    <w:rsid w:val="00200916"/>
    <w:rsid w:val="0021008A"/>
    <w:rsid w:val="002354C8"/>
    <w:rsid w:val="00241F07"/>
    <w:rsid w:val="00273D7C"/>
    <w:rsid w:val="002822BD"/>
    <w:rsid w:val="003700E9"/>
    <w:rsid w:val="00384450"/>
    <w:rsid w:val="00384BEB"/>
    <w:rsid w:val="00393349"/>
    <w:rsid w:val="003975D5"/>
    <w:rsid w:val="00471F3D"/>
    <w:rsid w:val="00480044"/>
    <w:rsid w:val="00481B1E"/>
    <w:rsid w:val="004831A2"/>
    <w:rsid w:val="004C658B"/>
    <w:rsid w:val="004D5363"/>
    <w:rsid w:val="004F1962"/>
    <w:rsid w:val="00516F2B"/>
    <w:rsid w:val="00560496"/>
    <w:rsid w:val="00597E84"/>
    <w:rsid w:val="005C071A"/>
    <w:rsid w:val="005C18BE"/>
    <w:rsid w:val="00606389"/>
    <w:rsid w:val="00622B5D"/>
    <w:rsid w:val="00651B9F"/>
    <w:rsid w:val="00662591"/>
    <w:rsid w:val="006F0273"/>
    <w:rsid w:val="00707763"/>
    <w:rsid w:val="00752392"/>
    <w:rsid w:val="00761294"/>
    <w:rsid w:val="007779CC"/>
    <w:rsid w:val="007956BA"/>
    <w:rsid w:val="00815E03"/>
    <w:rsid w:val="00822C2C"/>
    <w:rsid w:val="0083259F"/>
    <w:rsid w:val="00855F1A"/>
    <w:rsid w:val="00885423"/>
    <w:rsid w:val="00893466"/>
    <w:rsid w:val="008A670A"/>
    <w:rsid w:val="00916D7F"/>
    <w:rsid w:val="00934303"/>
    <w:rsid w:val="00941C9B"/>
    <w:rsid w:val="00956215"/>
    <w:rsid w:val="00986E87"/>
    <w:rsid w:val="009B2434"/>
    <w:rsid w:val="009D7CC2"/>
    <w:rsid w:val="00A566E9"/>
    <w:rsid w:val="00AA50F4"/>
    <w:rsid w:val="00AA5318"/>
    <w:rsid w:val="00AC52F9"/>
    <w:rsid w:val="00AC58D2"/>
    <w:rsid w:val="00AC7C49"/>
    <w:rsid w:val="00AE6986"/>
    <w:rsid w:val="00AF03B3"/>
    <w:rsid w:val="00AF611F"/>
    <w:rsid w:val="00B745A1"/>
    <w:rsid w:val="00B84A60"/>
    <w:rsid w:val="00B92532"/>
    <w:rsid w:val="00BA7C4E"/>
    <w:rsid w:val="00BB6656"/>
    <w:rsid w:val="00BC4E94"/>
    <w:rsid w:val="00BE3D0F"/>
    <w:rsid w:val="00C413D8"/>
    <w:rsid w:val="00C52114"/>
    <w:rsid w:val="00C5580E"/>
    <w:rsid w:val="00C6559C"/>
    <w:rsid w:val="00C86095"/>
    <w:rsid w:val="00CC7D4D"/>
    <w:rsid w:val="00CF69D7"/>
    <w:rsid w:val="00D46337"/>
    <w:rsid w:val="00D609B6"/>
    <w:rsid w:val="00D60EF0"/>
    <w:rsid w:val="00D711DB"/>
    <w:rsid w:val="00D73C34"/>
    <w:rsid w:val="00D904E0"/>
    <w:rsid w:val="00E75CAC"/>
    <w:rsid w:val="00EA4EE7"/>
    <w:rsid w:val="00ED6112"/>
    <w:rsid w:val="00EF5C0B"/>
    <w:rsid w:val="00F001BB"/>
    <w:rsid w:val="00F15C7E"/>
    <w:rsid w:val="00F40EDB"/>
    <w:rsid w:val="00F6560E"/>
    <w:rsid w:val="00F86EFE"/>
    <w:rsid w:val="00FB2908"/>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2579-0193-474C-BAB7-2D5685771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2157</Words>
  <Characters>12944</Characters>
  <Application>Microsoft Office Word</Application>
  <DocSecurity>0</DocSecurity>
  <Lines>107</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25</cp:revision>
  <dcterms:created xsi:type="dcterms:W3CDTF">2015-11-30T02:51:00Z</dcterms:created>
  <dcterms:modified xsi:type="dcterms:W3CDTF">2015-12-06T14:24:00Z</dcterms:modified>
</cp:coreProperties>
</file>