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 xml:space="preserve">Serwer będzie wysyłał wiadomości w oparciu o protokół SMTP. </w:t>
      </w:r>
      <w:r w:rsidR="00612E3F">
        <w:rPr>
          <w:szCs w:val="24"/>
        </w:rPr>
        <w:t xml:space="preserve">Zazwyczaj będą to wiadomości do wielu adresatów ( DW ) </w:t>
      </w:r>
      <w:r w:rsidRPr="00200916">
        <w:rPr>
          <w:szCs w:val="24"/>
        </w:rPr>
        <w:t>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398.7pt" o:ole="">
            <v:imagedata r:id="rId9" o:title=""/>
          </v:shape>
          <o:OLEObject Type="Embed" ProgID="Visio.Drawing.15" ShapeID="_x0000_i1025" DrawAspect="Content" ObjectID="_1511896436"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3pt;height:670.4pt" o:ole="">
            <v:imagedata r:id="rId11" o:title=""/>
          </v:shape>
          <o:OLEObject Type="Embed" ProgID="Visio.Drawing.15" ShapeID="_x0000_i1026" DrawAspect="Content" ObjectID="_1511896437" r:id="rId12"/>
        </w:object>
      </w:r>
    </w:p>
    <w:p w:rsidR="005D7339" w:rsidRDefault="005D7339" w:rsidP="001E1ECF"/>
    <w:p w:rsidR="005D7339" w:rsidRDefault="007E5074" w:rsidP="001E1ECF">
      <w:r>
        <w:object w:dxaOrig="12676" w:dyaOrig="6870">
          <v:shape id="_x0000_i1027" type="#_x0000_t75" style="width:523pt;height:283.25pt" o:ole="">
            <v:imagedata r:id="rId13" o:title=""/>
          </v:shape>
          <o:OLEObject Type="Embed" ProgID="Visio.Drawing.15" ShapeID="_x0000_i1027" DrawAspect="Content" ObjectID="_1511896438" r:id="rId14"/>
        </w:object>
      </w:r>
    </w:p>
    <w:p w:rsidR="005D7339" w:rsidRDefault="005D7339" w:rsidP="001E1ECF">
      <w:r>
        <w:object w:dxaOrig="8257" w:dyaOrig="4068">
          <v:shape id="_x0000_i1028" type="#_x0000_t75" style="width:412.3pt;height:203.1pt" o:ole="">
            <v:imagedata r:id="rId15" o:title=""/>
          </v:shape>
          <o:OLEObject Type="Embed" ProgID="Visio.Drawing.15" ShapeID="_x0000_i1028" DrawAspect="Content" ObjectID="_1511896439" r:id="rId16"/>
        </w:object>
      </w:r>
      <w:r>
        <w:br w:type="textWrapping" w:clear="all"/>
      </w:r>
    </w:p>
    <w:p w:rsidR="005D7339" w:rsidRPr="001E1ECF" w:rsidRDefault="005D7339" w:rsidP="001E1ECF">
      <w:r>
        <w:object w:dxaOrig="8857" w:dyaOrig="8425">
          <v:shape id="_x0000_i1029" type="#_x0000_t75" style="width:248.6pt;height:237.05pt" o:ole="">
            <v:imagedata r:id="rId17" o:title=""/>
          </v:shape>
          <o:OLEObject Type="Embed" ProgID="Visio.Drawing.15" ShapeID="_x0000_i1029" DrawAspect="Content" ObjectID="_1511896440" r:id="rId18"/>
        </w:object>
      </w:r>
    </w:p>
    <w:p w:rsidR="00B81A1B" w:rsidRPr="00B81A1B" w:rsidRDefault="00C6559C" w:rsidP="00B81A1B">
      <w:pPr>
        <w:pStyle w:val="Nagwek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446F4F"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404"/>
        <w:gridCol w:w="530"/>
        <w:gridCol w:w="710"/>
        <w:gridCol w:w="496"/>
        <w:gridCol w:w="729"/>
        <w:gridCol w:w="334"/>
        <w:gridCol w:w="471"/>
        <w:gridCol w:w="380"/>
        <w:gridCol w:w="454"/>
        <w:gridCol w:w="296"/>
        <w:gridCol w:w="1934"/>
        <w:gridCol w:w="1936"/>
      </w:tblGrid>
      <w:tr w:rsidR="0035411F" w:rsidTr="00CD2F2F">
        <w:tc>
          <w:tcPr>
            <w:tcW w:w="1008" w:type="dxa"/>
          </w:tcPr>
          <w:p w:rsidR="0035411F" w:rsidRDefault="0035411F" w:rsidP="00F64BB0">
            <w:r>
              <w:t>Numer</w:t>
            </w:r>
          </w:p>
        </w:tc>
        <w:tc>
          <w:tcPr>
            <w:tcW w:w="1934"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3"/>
          </w:tcPr>
          <w:p w:rsidR="0035411F" w:rsidRDefault="0035411F" w:rsidP="00F64BB0">
            <w:r>
              <w:t>Odpowiedź</w:t>
            </w:r>
          </w:p>
        </w:tc>
        <w:tc>
          <w:tcPr>
            <w:tcW w:w="834" w:type="dxa"/>
            <w:gridSpan w:val="2"/>
          </w:tcPr>
          <w:p w:rsidR="0035411F" w:rsidRDefault="0035411F" w:rsidP="00F64BB0">
            <w:r>
              <w:t>Kod</w:t>
            </w:r>
          </w:p>
        </w:tc>
        <w:tc>
          <w:tcPr>
            <w:tcW w:w="4166" w:type="dxa"/>
            <w:gridSpan w:val="3"/>
          </w:tcPr>
          <w:p w:rsidR="0035411F" w:rsidRDefault="0035411F" w:rsidP="00F64BB0">
            <w:r>
              <w:t>Dane</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6" w:type="dxa"/>
            <w:gridSpan w:val="3"/>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6" w:type="dxa"/>
            <w:gridSpan w:val="3"/>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wysyła dane do autoryzacji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CD2F2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6" w:type="dxa"/>
            <w:gridSpan w:val="3"/>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12"/>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CD2F2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6" w:type="dxa"/>
            <w:gridSpan w:val="3"/>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12"/>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CD2F2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6" w:type="dxa"/>
            <w:gridSpan w:val="3"/>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szablon wiadomości</w:t>
            </w:r>
          </w:p>
        </w:tc>
      </w:tr>
      <w:tr w:rsidR="0035411F" w:rsidTr="00CD2F2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6" w:type="dxa"/>
            <w:gridSpan w:val="3"/>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6" w:type="dxa"/>
            <w:gridSpan w:val="3"/>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wybraną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6" w:type="dxa"/>
            <w:gridSpan w:val="3"/>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12"/>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Klient tworzy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6" w:type="dxa"/>
            <w:gridSpan w:val="3"/>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12"/>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6" w:type="dxa"/>
            <w:gridSpan w:val="3"/>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wszystkie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Serwer wysyła wszystkie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6" w:type="dxa"/>
            <w:gridSpan w:val="3"/>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dodaje adres do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6" w:type="dxa"/>
            <w:gridSpan w:val="3"/>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CD2F2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6" w:type="dxa"/>
            <w:gridSpan w:val="3"/>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4"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3"/>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6" w:type="dxa"/>
            <w:gridSpan w:val="3"/>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CD2F2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4"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3"/>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6" w:type="dxa"/>
            <w:gridSpan w:val="3"/>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CD2F2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4"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CD2F2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4"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CD2F2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4"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3"/>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3"/>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12"/>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CD2F2F">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4" w:type="dxa"/>
            <w:gridSpan w:val="2"/>
          </w:tcPr>
          <w:p w:rsidR="00CD2F2F" w:rsidRPr="0005729A" w:rsidRDefault="00CD2F2F" w:rsidP="00CD2F2F">
            <w:pPr>
              <w:rPr>
                <w:rFonts w:ascii="Consolas" w:hAnsi="Consolas" w:cs="Consolas"/>
              </w:rPr>
            </w:pPr>
            <w:r>
              <w:rPr>
                <w:rFonts w:ascii="Consolas" w:hAnsi="Consolas" w:cs="Consolas"/>
              </w:rPr>
              <w:t>ERRSERV</w:t>
            </w:r>
            <w:bookmarkStart w:id="1" w:name="_GoBack"/>
            <w:bookmarkEnd w:id="1"/>
            <w:r>
              <w:rPr>
                <w:rFonts w:ascii="Consolas" w:hAnsi="Consolas" w:cs="Consolas"/>
              </w:rPr>
              <w:t>UNAV</w:t>
            </w:r>
          </w:p>
        </w:tc>
        <w:tc>
          <w:tcPr>
            <w:tcW w:w="1206" w:type="dxa"/>
            <w:gridSpan w:val="2"/>
          </w:tcPr>
          <w:p w:rsidR="00CD2F2F" w:rsidRPr="0005729A" w:rsidRDefault="00CD2F2F" w:rsidP="00CD2F2F">
            <w:pPr>
              <w:rPr>
                <w:rFonts w:ascii="Consolas" w:hAnsi="Consolas" w:cs="Consolas"/>
              </w:rPr>
            </w:pPr>
            <w:r>
              <w:rPr>
                <w:rFonts w:ascii="Consolas" w:hAnsi="Consolas" w:cs="Consolas"/>
              </w:rPr>
              <w:t>Serwer</w:t>
            </w:r>
          </w:p>
        </w:tc>
        <w:tc>
          <w:tcPr>
            <w:tcW w:w="1534" w:type="dxa"/>
            <w:gridSpan w:val="3"/>
          </w:tcPr>
          <w:p w:rsidR="00CD2F2F" w:rsidRPr="0005729A" w:rsidRDefault="00CD2F2F" w:rsidP="00CD2F2F">
            <w:pPr>
              <w:rPr>
                <w:rFonts w:ascii="Consolas" w:hAnsi="Consolas" w:cs="Consolas"/>
              </w:rPr>
            </w:pPr>
            <w:r>
              <w:rPr>
                <w:rFonts w:ascii="Consolas" w:hAnsi="Consolas" w:cs="Consolas"/>
              </w:rPr>
              <w:t>-</w:t>
            </w:r>
          </w:p>
        </w:tc>
        <w:tc>
          <w:tcPr>
            <w:tcW w:w="834" w:type="dxa"/>
            <w:gridSpan w:val="2"/>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4166" w:type="dxa"/>
            <w:gridSpan w:val="3"/>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5D7339">
        <w:tc>
          <w:tcPr>
            <w:tcW w:w="1008" w:type="dxa"/>
            <w:vMerge/>
          </w:tcPr>
          <w:p w:rsidR="00CD2F2F" w:rsidRPr="0005729A" w:rsidRDefault="00CD2F2F" w:rsidP="00CD2F2F">
            <w:pPr>
              <w:rPr>
                <w:rFonts w:ascii="Consolas" w:hAnsi="Consolas" w:cs="Consolas"/>
              </w:rPr>
            </w:pPr>
          </w:p>
        </w:tc>
        <w:tc>
          <w:tcPr>
            <w:tcW w:w="9674" w:type="dxa"/>
            <w:gridSpan w:val="12"/>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CD2F2F">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4" w:type="dxa"/>
            <w:gridSpan w:val="2"/>
          </w:tcPr>
          <w:p w:rsidR="00CD2F2F" w:rsidRDefault="00CD2F2F" w:rsidP="00CD2F2F">
            <w:pPr>
              <w:rPr>
                <w:rFonts w:ascii="Consolas" w:hAnsi="Consolas" w:cs="Consolas"/>
              </w:rPr>
            </w:pPr>
            <w:r>
              <w:rPr>
                <w:rFonts w:ascii="Consolas" w:hAnsi="Consolas" w:cs="Consolas"/>
              </w:rPr>
              <w:t>GRPADRGETONE</w:t>
            </w:r>
          </w:p>
        </w:tc>
        <w:tc>
          <w:tcPr>
            <w:tcW w:w="1935" w:type="dxa"/>
            <w:gridSpan w:val="3"/>
          </w:tcPr>
          <w:p w:rsidR="00CD2F2F" w:rsidRDefault="00CD2F2F" w:rsidP="00CD2F2F">
            <w:pPr>
              <w:rPr>
                <w:rFonts w:ascii="Consolas" w:hAnsi="Consolas" w:cs="Consolas"/>
              </w:rPr>
            </w:pPr>
            <w:r>
              <w:rPr>
                <w:rFonts w:ascii="Consolas" w:hAnsi="Consolas" w:cs="Consolas"/>
              </w:rPr>
              <w:t>Serwer</w:t>
            </w:r>
          </w:p>
        </w:tc>
        <w:tc>
          <w:tcPr>
            <w:tcW w:w="1935" w:type="dxa"/>
            <w:gridSpan w:val="5"/>
          </w:tcPr>
          <w:p w:rsidR="00CD2F2F" w:rsidRDefault="00CD2F2F" w:rsidP="00CD2F2F">
            <w:pPr>
              <w:rPr>
                <w:rFonts w:ascii="Consolas" w:hAnsi="Consolas" w:cs="Consolas"/>
              </w:rPr>
            </w:pPr>
            <w:r>
              <w:rPr>
                <w:rFonts w:ascii="Consolas" w:hAnsi="Consolas" w:cs="Consolas"/>
              </w:rPr>
              <w:t>-</w:t>
            </w:r>
          </w:p>
        </w:tc>
        <w:tc>
          <w:tcPr>
            <w:tcW w:w="1934" w:type="dxa"/>
          </w:tcPr>
          <w:p w:rsidR="00CD2F2F" w:rsidRDefault="00CD2F2F" w:rsidP="00CD2F2F">
            <w:pPr>
              <w:rPr>
                <w:rFonts w:ascii="Consolas" w:hAnsi="Consolas" w:cs="Consolas"/>
              </w:rPr>
            </w:pPr>
            <w:r>
              <w:rPr>
                <w:rFonts w:ascii="Consolas" w:hAnsi="Consolas" w:cs="Consolas"/>
              </w:rPr>
              <w:t>0x17</w:t>
            </w:r>
          </w:p>
        </w:tc>
        <w:tc>
          <w:tcPr>
            <w:tcW w:w="1936" w:type="dxa"/>
          </w:tcPr>
          <w:p w:rsidR="00CD2F2F" w:rsidRDefault="00CD2F2F" w:rsidP="00CD2F2F">
            <w:pPr>
              <w:rPr>
                <w:rFonts w:ascii="Consolas" w:hAnsi="Consolas" w:cs="Consolas"/>
              </w:rPr>
            </w:pPr>
            <w:r>
              <w:rPr>
                <w:rFonts w:ascii="Consolas" w:hAnsi="Consolas" w:cs="Consolas"/>
              </w:rPr>
              <w:t>ADDRID</w:t>
            </w:r>
          </w:p>
        </w:tc>
      </w:tr>
      <w:tr w:rsidR="00CD2F2F" w:rsidRPr="00902910" w:rsidTr="001E6C79">
        <w:tc>
          <w:tcPr>
            <w:tcW w:w="1008" w:type="dxa"/>
            <w:vMerge/>
          </w:tcPr>
          <w:p w:rsidR="00CD2F2F" w:rsidRPr="0005729A" w:rsidRDefault="00CD2F2F" w:rsidP="00CD2F2F">
            <w:pPr>
              <w:rPr>
                <w:rFonts w:ascii="Consolas" w:hAnsi="Consolas" w:cs="Consolas"/>
              </w:rPr>
            </w:pPr>
          </w:p>
        </w:tc>
        <w:tc>
          <w:tcPr>
            <w:tcW w:w="9674" w:type="dxa"/>
            <w:gridSpan w:val="12"/>
          </w:tcPr>
          <w:p w:rsidR="00CD2F2F" w:rsidRDefault="00CD2F2F" w:rsidP="00CD2F2F">
            <w:pPr>
              <w:rPr>
                <w:rFonts w:ascii="Consolas" w:hAnsi="Consolas" w:cs="Consolas"/>
              </w:rPr>
            </w:pPr>
            <w:r>
              <w:rPr>
                <w:rFonts w:ascii="Consolas" w:hAnsi="Consolas" w:cs="Consolas"/>
              </w:rPr>
              <w:t>Serwer zwraca id adresu dodanego do grupy za pomocą GRPADRADD</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30" type="#_x0000_t75" style="width:522.35pt;height:133.8pt" o:ole="">
            <v:imagedata r:id="rId20" o:title=""/>
          </v:shape>
          <o:OLEObject Type="Embed" ProgID="Visio.Drawing.15" ShapeID="_x0000_i1030" DrawAspect="Content" ObjectID="_1511896441"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446F4F"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F964AD" w:rsidRDefault="00F964AD">
                        <w:r>
                          <w:t>1B</w:t>
                        </w:r>
                      </w:p>
                    </w:txbxContent>
                  </v:textbox>
                </v:shape>
              </w:pict>
            </w:r>
            <w:r w:rsidR="00483C47">
              <w:t>Rodzaj kodowania</w:t>
            </w:r>
          </w:p>
        </w:tc>
        <w:tc>
          <w:tcPr>
            <w:tcW w:w="2126" w:type="dxa"/>
          </w:tcPr>
          <w:p w:rsidR="00483C47" w:rsidRDefault="00446F4F"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F964AD" w:rsidRDefault="00F964A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446F4F"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lastRenderedPageBreak/>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374" w:rsidRDefault="00880374" w:rsidP="00C66AA3">
      <w:pPr>
        <w:spacing w:after="0" w:line="240" w:lineRule="auto"/>
      </w:pPr>
      <w:r>
        <w:separator/>
      </w:r>
    </w:p>
  </w:endnote>
  <w:endnote w:type="continuationSeparator" w:id="0">
    <w:p w:rsidR="00880374" w:rsidRDefault="00880374"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374" w:rsidRDefault="00880374" w:rsidP="00C66AA3">
      <w:pPr>
        <w:spacing w:after="0" w:line="240" w:lineRule="auto"/>
      </w:pPr>
      <w:r>
        <w:separator/>
      </w:r>
    </w:p>
  </w:footnote>
  <w:footnote w:type="continuationSeparator" w:id="0">
    <w:p w:rsidR="00880374" w:rsidRDefault="00880374"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0ADE"/>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A243B"/>
    <w:rsid w:val="003D2855"/>
    <w:rsid w:val="003E6624"/>
    <w:rsid w:val="004135D6"/>
    <w:rsid w:val="00446F4F"/>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2E3F"/>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714C7"/>
    <w:rsid w:val="00880374"/>
    <w:rsid w:val="008805AA"/>
    <w:rsid w:val="00885423"/>
    <w:rsid w:val="00890C79"/>
    <w:rsid w:val="00893466"/>
    <w:rsid w:val="00893648"/>
    <w:rsid w:val="008A670A"/>
    <w:rsid w:val="008C052C"/>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6.vsdx"/><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4.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E08E-8712-426D-BBFB-21B3B64D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12</Pages>
  <Words>2853</Words>
  <Characters>17123</Characters>
  <Application>Microsoft Office Word</Application>
  <DocSecurity>0</DocSecurity>
  <Lines>142</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64</cp:revision>
  <dcterms:created xsi:type="dcterms:W3CDTF">2015-11-30T02:51:00Z</dcterms:created>
  <dcterms:modified xsi:type="dcterms:W3CDTF">2015-12-17T21:27:00Z</dcterms:modified>
</cp:coreProperties>
</file>