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心脏磁共振几何与节段不同步特征的临床结局预测：基于实验探索逻辑的学术报告</w:t>
      </w:r>
    </w:p>
    <w:p>
      <w:pPr>
        <w:ind w:left="360"/>
      </w:pPr>
      <w:r>
        <w:rPr>
          <w:i/>
        </w:rPr>
        <w:t>**材料索引**（路径均相对于本提交包根目录）</w:t>
      </w:r>
    </w:p>
    <w:p>
      <w:pPr>
        <w:ind w:left="360"/>
      </w:pPr>
      <w:r>
        <w:rPr>
          <w:i/>
        </w:rPr>
        <w:t>- **本报告**：`report_academic_integrated.md`</w:t>
      </w:r>
    </w:p>
    <w:p>
      <w:pPr>
        <w:ind w:left="360"/>
      </w:pPr>
      <w:r>
        <w:rPr>
          <w:i/>
        </w:rPr>
        <w:t>- 主流程脚本：`01_code/deep_experiment_full_gpu.py`</w:t>
      </w:r>
    </w:p>
    <w:p>
      <w:pPr>
        <w:ind w:left="360"/>
      </w:pPr>
      <w:r>
        <w:rPr>
          <w:i/>
        </w:rPr>
        <w:t>- **择优冠军目录**：`outputs_clinical_endpoint_n320_bs400/`</w:t>
      </w:r>
    </w:p>
    <w:p>
      <w:pPr>
        <w:ind w:left="360"/>
      </w:pPr>
      <w:r>
        <w:rPr>
          <w:i/>
        </w:rPr>
        <w:t>- 择优说明：`report_champion_selection.json`</w:t>
      </w:r>
    </w:p>
    <w:p>
      <w:pPr>
        <w:ind w:left="360"/>
      </w:pPr>
      <w:r>
        <w:rPr>
          <w:i/>
        </w:rPr>
        <w:t>- 冠军归档：`report_champion_bundle_20260501_1338/`；队列勘测：`cohort_scout_summary.json`</w:t>
      </w:r>
    </w:p>
    <w:p>
      <w:r>
        <w:rPr>
          <w:b/>
        </w:rPr>
        <w:t>叙事说明</w:t>
      </w:r>
      <w:r>
        <w:t xml:space="preserve">：下文按 </w:t>
      </w:r>
      <w:r>
        <w:rPr>
          <w:b/>
        </w:rPr>
        <w:t>「提出问题 → 固定评估协议 → 实验推进 → 随文附图/表」</w:t>
      </w:r>
      <w:r>
        <w:t xml:space="preserve"> 组织。图表与 </w:t>
      </w:r>
      <w:r>
        <w:rPr>
          <w:b/>
        </w:rPr>
        <w:t>表 1–7</w:t>
      </w:r>
      <w:r>
        <w:t>、</w:t>
      </w:r>
      <w:r>
        <w:rPr>
          <w:b/>
        </w:rPr>
        <w:t>图 1–12</w:t>
      </w:r>
      <w:r>
        <w:t xml:space="preserve"> 的默认数据根目录为 </w:t>
      </w:r>
      <w:r>
        <w:rPr>
          <w:b/>
        </w:rPr>
        <w:t>`outputs_clinical_endpoint_n320_bs400/`</w:t>
      </w:r>
      <w:r>
        <w:t>（另含 `figures_extra/`、`outer_test_predictions_bundle.csv`）；</w:t>
      </w:r>
      <w:r>
        <w:rPr>
          <w:b/>
        </w:rPr>
        <w:t>§4.9</w:t>
      </w:r>
      <w:r>
        <w:t xml:space="preserve"> 等对 </w:t>
      </w:r>
      <w:r>
        <w:rPr>
          <w:b/>
        </w:rPr>
        <w:t>full-cohort</w:t>
      </w:r>
      <w:r>
        <w:t>（全可获得队列敏感性）的引用见该节说明。</w:t>
      </w:r>
      <w:r>
        <w:rPr>
          <w:b/>
        </w:rPr>
        <w:t>表号</w:t>
      </w:r>
      <w:r>
        <w:t>按全篇统一编号，</w:t>
      </w:r>
      <w:r>
        <w:rPr>
          <w:b/>
        </w:rPr>
        <w:t>在正文中的出现顺序</w:t>
      </w:r>
      <w:r>
        <w:t>不必与表 1、2、3 数字升序一致。</w:t>
      </w:r>
      <w:r>
        <w:rPr>
          <w:b/>
        </w:rPr>
        <w:t>Bootstrap</w:t>
      </w:r>
      <w:r>
        <w:t xml:space="preserve"> </w:t>
      </w:r>
      <w:r>
        <w:rPr>
          <w:b/>
        </w:rPr>
        <w:t>B=400</w:t>
      </w:r>
      <w:r>
        <w:t>；多 seed 见 `protocol.json` 之 `eval_seeds`。</w:t>
      </w:r>
      <w:r>
        <w:rPr>
          <w:b/>
        </w:rPr>
        <w:t>文内引用</w:t>
      </w:r>
      <w:r>
        <w:t xml:space="preserve">以方括号序号 `[n]` 对应 </w:t>
      </w:r>
      <w:r>
        <w:rPr>
          <w:b/>
        </w:rPr>
        <w:t>§7 参考文献</w:t>
      </w:r>
      <w:r>
        <w:t>。</w:t>
      </w:r>
    </w:p>
    <w:p/>
    <w:p>
      <w:pPr>
        <w:pStyle w:val="Heading2"/>
      </w:pPr>
      <w:r>
        <w:t>摘要</w:t>
      </w:r>
    </w:p>
    <w:p>
      <w:r>
        <w:rPr>
          <w:b/>
        </w:rPr>
        <w:t>目的</w:t>
      </w:r>
      <w:r>
        <w:t xml:space="preserve">：在多中心心脏磁共振分割数据上，用几何与 </w:t>
      </w:r>
      <w:r>
        <w:rPr>
          <w:b/>
        </w:rPr>
        <w:t>17 节段 Hilbert 相位不同步</w:t>
      </w:r>
      <w:r>
        <w:t xml:space="preserve"> 特征，探索 </w:t>
      </w:r>
      <w:r>
        <w:rPr>
          <w:b/>
        </w:rPr>
        <w:t>可同时支撑排序（AUC/C-index）、固定外测复述与临床可读阈值</w:t>
      </w:r>
      <w:r>
        <w:t xml:space="preserve"> 的建模路径；判别任务对齐 Excel 读出列 </w:t>
      </w:r>
      <w:r>
        <w:rPr>
          <w:b/>
        </w:rPr>
        <w:t>`endpoint`（0/1 终点事件指示）</w:t>
      </w:r>
      <w:r>
        <w:t xml:space="preserve">，随访跨度由列 </w:t>
      </w:r>
      <w:r>
        <w:rPr>
          <w:b/>
        </w:rPr>
        <w:t>`time`（天）</w:t>
      </w:r>
      <w:r>
        <w:t xml:space="preserve"> 表征（术语约定见 §2）。</w:t>
      </w:r>
    </w:p>
    <w:p>
      <w:r>
        <w:rPr>
          <w:b/>
        </w:rPr>
        <w:t>推进逻辑</w:t>
      </w:r>
      <w:r>
        <w:t xml:space="preserve">：首先在 </w:t>
      </w:r>
      <w:r>
        <w:rPr>
          <w:b/>
        </w:rPr>
        <w:t>scout</w:t>
      </w:r>
      <w:r>
        <w:t xml:space="preserve"> 厘清可抽取与可合并上限；再在 </w:t>
      </w:r>
      <w:r>
        <w:rPr>
          <w:b/>
        </w:rPr>
        <w:t>恒定外层分层划分</w:t>
      </w:r>
      <w:r>
        <w:t xml:space="preserve">（`test_size=0.25`、`stratify=endpoint`、`seed=20260501`）下，平行推进 </w:t>
      </w:r>
      <w:r>
        <w:rPr>
          <w:b/>
        </w:rPr>
        <w:t>Cox/时间依赖 AUC</w:t>
      </w:r>
      <w:r>
        <w:t xml:space="preserve"> 与 </w:t>
      </w:r>
      <w:r>
        <w:rPr>
          <w:b/>
        </w:rPr>
        <w:t>树–MLP–融合判别</w:t>
      </w:r>
      <w:r>
        <w:t xml:space="preserve">；随实验批次增加 </w:t>
      </w:r>
      <w:r>
        <w:rPr>
          <w:b/>
        </w:rPr>
        <w:t>校准、DCA、Bootstrap、多 seed 与两种入组策略</w:t>
      </w:r>
      <w:r>
        <w:t xml:space="preserve">，并以 </w:t>
      </w:r>
      <w:r>
        <w:rPr>
          <w:b/>
        </w:rPr>
        <w:t>加权综合评分</w:t>
      </w:r>
      <w:r>
        <w:t>择优形成「冠军」输出。</w:t>
      </w:r>
    </w:p>
    <w:p>
      <w:r>
        <w:rPr>
          <w:b/>
        </w:rPr>
        <w:t>主要结论（冠军 `outputs_clinical_endpoint_n320_bs400`）</w:t>
      </w:r>
      <w:r>
        <w:t xml:space="preserve">：融合模型外测 </w:t>
      </w:r>
      <w:r>
        <w:rPr>
          <w:b/>
        </w:rPr>
        <w:t>AUC≈0.786</w:t>
      </w:r>
      <w:r>
        <w:t xml:space="preserve">；阈 </w:t>
      </w:r>
      <w:r>
        <w:rPr>
          <w:b/>
        </w:rPr>
        <w:t>0.5</w:t>
      </w:r>
      <w:r>
        <w:t xml:space="preserve"> 下 </w:t>
      </w:r>
      <w:r>
        <w:rPr>
          <w:b/>
        </w:rPr>
        <w:t>BA≈0.701 / F1≈0.48</w:t>
      </w:r>
      <w:r>
        <w:t xml:space="preserve">；依 OOF </w:t>
      </w:r>
      <w:r>
        <w:rPr>
          <w:b/>
        </w:rPr>
        <w:t>主阈值</w:t>
      </w:r>
      <w:r>
        <w:t xml:space="preserve">（≈0.259）外测 </w:t>
      </w:r>
      <w:r>
        <w:rPr>
          <w:b/>
        </w:rPr>
        <w:t>Sens≈0.64 / Spec≈0.71 / NPV≈0.91</w:t>
      </w:r>
      <w:r>
        <w:t>。</w:t>
      </w:r>
      <w:r>
        <w:rPr>
          <w:b/>
        </w:rPr>
        <w:t>full-cohort</w:t>
      </w:r>
      <w:r>
        <w:t xml:space="preserve"> 敏感性显示 </w:t>
      </w:r>
      <w:r>
        <w:rPr>
          <w:b/>
        </w:rPr>
        <w:t>`endpoint`=1（事件阳性）占比降低时</w:t>
      </w:r>
      <w:r>
        <w:t xml:space="preserve"> AUC 明显下探（≈0.58），提示外推须与 </w:t>
      </w:r>
      <w:r>
        <w:rPr>
          <w:b/>
        </w:rPr>
        <w:t>入组与研究设计</w:t>
      </w:r>
      <w:r>
        <w:t xml:space="preserve">共读。校准副业 </w:t>
      </w:r>
      <w:r>
        <w:rPr>
          <w:b/>
        </w:rPr>
        <w:t>isotonic</w:t>
      </w:r>
      <w:r>
        <w:t xml:space="preserve"> 可改善 </w:t>
      </w:r>
      <w:r>
        <w:rPr>
          <w:b/>
        </w:rPr>
        <w:t>Brier/ECE</w:t>
      </w:r>
      <w:r>
        <w:t>。</w:t>
      </w:r>
      <w:r>
        <w:rPr>
          <w:b/>
        </w:rPr>
        <w:t>局限</w:t>
      </w:r>
      <w:r>
        <w:t xml:space="preserve">：测试集中 </w:t>
      </w:r>
      <w:r>
        <w:rPr>
          <w:b/>
        </w:rPr>
        <w:t>`endpoint`=1</w:t>
      </w:r>
      <w:r>
        <w:t xml:space="preserve"> 仅 </w:t>
      </w:r>
      <w:r>
        <w:rPr>
          <w:b/>
        </w:rPr>
        <w:t>11 例</w:t>
      </w:r>
      <w:r>
        <w:t xml:space="preserve">，区间较宽；早期 sprint 的监督标签在 </w:t>
      </w:r>
      <w:r>
        <w:rPr>
          <w:b/>
        </w:rPr>
        <w:t>`time`≤1095 天规则下另行构造</w:t>
      </w:r>
      <w:r>
        <w:t xml:space="preserve">，与本篇 </w:t>
      </w:r>
      <w:r>
        <w:rPr>
          <w:b/>
        </w:rPr>
        <w:t>树/MLP/融合直读 `endpoint`</w:t>
      </w:r>
      <w:r>
        <w:t xml:space="preserve"> 的任务定义不同——</w:t>
      </w:r>
      <w:r>
        <w:rPr>
          <w:b/>
        </w:rPr>
        <w:t>比较两类数字前须先说明标签与截断规则</w:t>
      </w:r>
      <w:r>
        <w:t>（§2、§4.11）。</w:t>
      </w:r>
    </w:p>
    <w:p/>
    <w:p>
      <w:pPr>
        <w:pStyle w:val="Heading2"/>
      </w:pPr>
      <w:r>
        <w:t>1　引言：从临床决策需求到探索路线</w:t>
      </w:r>
    </w:p>
    <w:p>
      <w:r>
        <w:t xml:space="preserve">临床研究不仅关心模型能否把人排对序，还要求 </w:t>
      </w:r>
      <w:r>
        <w:rPr>
          <w:b/>
        </w:rPr>
        <w:t>可操作阈值</w:t>
      </w:r>
      <w:r>
        <w:t xml:space="preserve">、依赖 </w:t>
      </w:r>
      <w:r>
        <w:rPr>
          <w:b/>
        </w:rPr>
        <w:t>`endpoint`=1 先验占比</w:t>
      </w:r>
      <w:r>
        <w:t xml:space="preserve">（患病率）条件下的 </w:t>
      </w:r>
      <w:r>
        <w:rPr>
          <w:b/>
        </w:rPr>
        <w:t>PPV/NPV</w:t>
      </w:r>
      <w:r>
        <w:t xml:space="preserve">、合理的 </w:t>
      </w:r>
      <w:r>
        <w:rPr>
          <w:b/>
        </w:rPr>
        <w:t>校准</w:t>
      </w:r>
      <w:r>
        <w:t xml:space="preserve"> 与 </w:t>
      </w:r>
      <w:r>
        <w:rPr>
          <w:b/>
        </w:rPr>
        <w:t>给定阈值下的净获益</w:t>
      </w:r>
      <w:r>
        <w:t xml:space="preserve">——与临床预测模型的报告关注点一致[6][13]。影像学侧，本工作在可复现实验脚本中串联 </w:t>
      </w:r>
      <w:r>
        <w:rPr>
          <w:b/>
        </w:rPr>
        <w:t>几何量 + 17 段节段特征 + 训练中自动生成的 boost 拼接协变量</w:t>
      </w:r>
      <w:r>
        <w:t xml:space="preserve">，将「特征构造—划分—训练—外测」做成 </w:t>
      </w:r>
      <w:r>
        <w:rPr>
          <w:b/>
        </w:rPr>
        <w:t>可重复的实验管道</w:t>
      </w:r>
      <w:r>
        <w:t xml:space="preserve">，并在管道之上 </w:t>
      </w:r>
      <w:r>
        <w:rPr>
          <w:b/>
        </w:rPr>
        <w:t>递增</w:t>
      </w:r>
      <w:r>
        <w:t xml:space="preserve"> 校准、DCA、阈值与不确定性分析[5][7][12]。</w:t>
      </w:r>
    </w:p>
    <w:p>
      <w:r>
        <w:rPr>
          <w:b/>
        </w:rPr>
        <w:t>与前期 sprint / 其他批次的关系</w:t>
      </w:r>
      <w:r>
        <w:t xml:space="preserve">：如 `outputs_deep_full_gpu_sprint3/` 曾在 </w:t>
      </w:r>
      <w:r>
        <w:rPr>
          <w:b/>
        </w:rPr>
        <w:t>固定 `time` 上限（脚本取 1095 天）与特定规则下</w:t>
      </w:r>
      <w:r>
        <w:t xml:space="preserve"> 另行定义 </w:t>
      </w:r>
      <w:r>
        <w:rPr>
          <w:b/>
        </w:rPr>
        <w:t>二类训练标签</w:t>
      </w:r>
      <w:r>
        <w:t xml:space="preserve">（与当前 Excel 直接读入的 </w:t>
      </w:r>
      <w:r>
        <w:rPr>
          <w:b/>
        </w:rPr>
        <w:t>`endpoint`</w:t>
      </w:r>
      <w:r>
        <w:t xml:space="preserve"> </w:t>
      </w:r>
      <w:r>
        <w:rPr>
          <w:b/>
        </w:rPr>
        <w:t>不是同一监督任务</w:t>
      </w:r>
      <w:r>
        <w:t xml:space="preserve">）。本篇主线的树/MLP/融合 </w:t>
      </w:r>
      <w:r>
        <w:rPr>
          <w:b/>
        </w:rPr>
        <w:t>以 Excel 所列 `endpoint∈{0,1}` 为监督</w:t>
      </w:r>
      <w:r>
        <w:t>；</w:t>
      </w:r>
      <w:r>
        <w:rPr>
          <w:b/>
        </w:rPr>
        <w:t>1095、365/730/1095</w:t>
      </w:r>
      <w:r>
        <w:t xml:space="preserve"> 等仍出现于 </w:t>
      </w:r>
      <w:r>
        <w:rPr>
          <w:b/>
        </w:rPr>
        <w:t>入队筛选、生存分析、time-dependent ROC 的 horizon</w:t>
      </w:r>
      <w:r>
        <w:t xml:space="preserve">，其角色在 §2 与各相关小节分述。将 </w:t>
      </w:r>
      <w:r>
        <w:rPr>
          <w:b/>
        </w:rPr>
        <w:t>sprint 的 `auc_1095d` 等</w:t>
      </w:r>
      <w:r>
        <w:t xml:space="preserve"> 与本篇 </w:t>
      </w:r>
      <w:r>
        <w:rPr>
          <w:b/>
        </w:rPr>
        <w:t>`endpoint` ROC-AUC</w:t>
      </w:r>
      <w:r>
        <w:t xml:space="preserve"> 对比时，建议 </w:t>
      </w:r>
      <w:r>
        <w:rPr>
          <w:b/>
        </w:rPr>
        <w:t>先分列「标签与截断」</w:t>
      </w:r>
      <w:r>
        <w:t xml:space="preserve"> 再解读性能差异。</w:t>
      </w:r>
    </w:p>
    <w:p/>
    <w:p>
      <w:pPr>
        <w:pStyle w:val="Heading2"/>
      </w:pPr>
      <w:r>
        <w:t>2　数据、特征与入组：scout 划定边界，策略创造「可学习任务」</w:t>
      </w:r>
    </w:p>
    <w:p>
      <w:pPr>
        <w:pStyle w:val="Heading3"/>
      </w:pPr>
      <w:r>
        <w:t>2.1　字段与临床语义（避免将「随访间隔」与「终点变量」混淆）</w:t>
      </w:r>
    </w:p>
    <w:p>
      <w:r>
        <w:t xml:space="preserve">本流水线（与 [`protocol_endpoint.json`](outputs_clinical_endpoint_n320_bs400/protocol_endpoint.json) 一致）对 Excel </w:t>
      </w:r>
      <w:r>
        <w:rPr>
          <w:b/>
        </w:rPr>
        <w:t>`survival_clean(1).xlsx`</w:t>
      </w:r>
      <w:r>
        <w:t xml:space="preserve"> 的约定为：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列名（脚本沿用）</w:t>
            </w:r>
          </w:p>
        </w:tc>
        <w:tc>
          <w:tcPr>
            <w:tcW w:type="dxa" w:w="4320"/>
          </w:tcPr>
          <w:p>
            <w:r>
              <w:t>类型与含义</w:t>
            </w:r>
          </w:p>
        </w:tc>
      </w:tr>
      <w:tr>
        <w:tc>
          <w:tcPr>
            <w:tcW w:type="dxa" w:w="4320"/>
          </w:tcPr>
          <w:p>
            <w:r>
              <w:t>`time`</w:t>
            </w:r>
          </w:p>
        </w:tc>
        <w:tc>
          <w:tcPr>
            <w:tcW w:type="dxa" w:w="4320"/>
          </w:tcPr>
          <w:p>
            <w:r>
              <w:t>时间长度，单位为「天」：表示可追溯的随访跨度，或与本研究时间轴一致的 相邻关键时间节点之间的间隔（例如可用于刻画「影像检查至随访终点」跨度）。Cox duration 与本报告中的 `time` 对齐；判断是否落在某一 事前规定的日历截断之内时，也使用 `time`。若课题组口语习惯把「两次就诊相隔天数」简称为另一类说法，请以 表中 `time` 列 为准承载 连续天数。</w:t>
            </w:r>
          </w:p>
        </w:tc>
      </w:tr>
      <w:tr>
        <w:tc>
          <w:tcPr>
            <w:tcW w:type="dxa" w:w="4320"/>
          </w:tcPr>
          <w:p>
            <w:r>
              <w:t>`endpoint`</w:t>
            </w:r>
          </w:p>
        </w:tc>
        <w:tc>
          <w:tcPr>
            <w:tcW w:type="dxa" w:w="4320"/>
          </w:tcPr>
          <w:p>
            <w:r>
              <w:t>二分类终点指示，取 0 或 1（与本仓库流水线读入、`protocol_endpoint.json`「1=事件发生」记载一致）：1 = 在给定 `time` 定义的随访跨度内 观察到终点事件；0 = 未观察到（删失在 Cox / 生存分析中以 `endpoint` + `time` 共同表达）。该列 不是「随访间隔天数」本身，亦非固定以「36 个月」重写后的变量；分析与入组中出现的 ≤1095 天 仅作用于 `time` 的比较或历史 sprint 的监督构造。</w:t>
            </w:r>
          </w:p>
        </w:tc>
      </w:tr>
    </w:tbl>
    <w:p/>
    <w:p>
      <w:r>
        <w:t xml:space="preserve">脚本中 </w:t>
      </w:r>
      <w:r>
        <w:rPr>
          <w:b/>
        </w:rPr>
        <w:t>`min-events-3y`（配以 1095 天）</w:t>
      </w:r>
      <w:r>
        <w:t xml:space="preserve">、早期 sprint 的 </w:t>
      </w:r>
      <w:r>
        <w:rPr>
          <w:b/>
        </w:rPr>
        <w:t>二类代理标签</w:t>
      </w:r>
      <w:r>
        <w:t xml:space="preserve">以及 </w:t>
      </w:r>
      <w:r>
        <w:rPr>
          <w:b/>
        </w:rPr>
        <w:t>365 / 730 / 1095</w:t>
      </w:r>
      <w:r>
        <w:t xml:space="preserve"> 在图上的 </w:t>
      </w:r>
      <w:r>
        <w:rPr>
          <w:b/>
        </w:rPr>
        <w:t>horizon</w:t>
      </w:r>
      <w:r>
        <w:t xml:space="preserve">（常对应约 12/24/36 个公历月折算天数），均为 </w:t>
      </w:r>
      <w:r>
        <w:rPr>
          <w:b/>
        </w:rPr>
        <w:t>分析时可调的时间截断或历史任务定义</w:t>
      </w:r>
      <w:r>
        <w:t>；</w:t>
      </w:r>
      <w:r>
        <w:rPr>
          <w:b/>
        </w:rPr>
        <w:t>其作用对象主要是 `time` 或已构造的代理标签</w:t>
      </w:r>
      <w:r>
        <w:t>，</w:t>
      </w:r>
      <w:r>
        <w:rPr>
          <w:b/>
        </w:rPr>
        <w:t>不宜</w:t>
      </w:r>
      <w:r>
        <w:t>在文字上误写为「**`endpoint` 列等价于三年」或「`endpoint` 由 36 个月定义」。</w:t>
      </w:r>
    </w:p>
    <w:p/>
    <w:p>
      <w:r>
        <w:rPr>
          <w:b/>
        </w:rPr>
        <w:t>标签数据源</w:t>
      </w:r>
      <w:r>
        <w:t>：除上表所列外，不完整行剔除，读入后与 `patient_id`、`seg` 合并。</w:t>
      </w:r>
    </w:p>
    <w:p>
      <w:r>
        <w:rPr>
          <w:b/>
        </w:rPr>
        <w:t>影像与特征</w:t>
      </w:r>
      <w:r>
        <w:t xml:space="preserve">：`seg/` 下每名受试者 </w:t>
      </w:r>
      <w:r>
        <w:rPr>
          <w:b/>
        </w:rPr>
        <w:t>≥10 帧</w:t>
      </w:r>
      <w:r>
        <w:t xml:space="preserve"> 有效分割；流水线提取 </w:t>
      </w:r>
      <w:r>
        <w:rPr>
          <w:b/>
        </w:rPr>
        <w:t>心肌环几何量</w:t>
      </w:r>
      <w:r>
        <w:t xml:space="preserve">（如 `Ldiast`、`Rdiast`、`kappa`、`Eclose`、`DeltaTheta`）与 </w:t>
      </w:r>
      <w:r>
        <w:rPr>
          <w:b/>
        </w:rPr>
        <w:t>`seg01_amp`–`seg17_amp`</w:t>
      </w:r>
      <w:r>
        <w:t xml:space="preserve">（分段命名与临床实践中的心肌分段模型一致[1]）；在 </w:t>
      </w:r>
      <w:r>
        <w:rPr>
          <w:b/>
        </w:rPr>
        <w:t>训练集</w:t>
      </w:r>
      <w:r>
        <w:t xml:space="preserve">上按事件/非事件节段均值差自动生成 </w:t>
      </w:r>
      <w:r>
        <w:rPr>
          <w:b/>
        </w:rPr>
        <w:t>segment boost</w:t>
      </w:r>
      <w:r>
        <w:t xml:space="preserve">，与基特征拼接后 </w:t>
      </w:r>
      <w:r>
        <w:rPr>
          <w:b/>
        </w:rPr>
        <w:t>RobustScaler</w:t>
      </w:r>
      <w:r>
        <w:t>[11]（仅训练拟合）。</w:t>
      </w:r>
    </w:p>
    <w:p>
      <w:r>
        <w:rPr>
          <w:b/>
        </w:rPr>
        <w:t>可及上限（scout，[`cohort_scout_summary.json`](cohort_scout_summary.json)）</w:t>
      </w:r>
      <w:r>
        <w:t xml:space="preserve">：seg </w:t>
      </w:r>
      <w:r>
        <w:rPr>
          <w:b/>
        </w:rPr>
        <w:t>1223</w:t>
      </w:r>
      <w:r>
        <w:t xml:space="preserve"> 例；合并标签 </w:t>
      </w:r>
      <w:r>
        <w:rPr>
          <w:b/>
        </w:rPr>
        <w:t>1477</w:t>
      </w:r>
      <w:r>
        <w:t xml:space="preserve"> 行；唯一患者 </w:t>
      </w:r>
      <w:r>
        <w:rPr>
          <w:b/>
        </w:rPr>
        <w:t>1015</w:t>
      </w:r>
      <w:r>
        <w:t>；</w:t>
      </w:r>
      <w:r>
        <w:rPr>
          <w:b/>
        </w:rPr>
        <w:t>特征成功 1067</w:t>
      </w:r>
      <w:r>
        <w:t xml:space="preserve">，失败约 </w:t>
      </w:r>
      <w:r>
        <w:rPr>
          <w:b/>
        </w:rPr>
        <w:t>410</w:t>
      </w:r>
      <w:r>
        <w:t>。</w:t>
      </w:r>
      <w:r>
        <w:rPr>
          <w:b/>
        </w:rPr>
        <w:t>探索含义</w:t>
      </w:r>
      <w:r>
        <w:t xml:space="preserve">：建模 `N` 的上限已由数据工程过滤，其后是在此边界内如何做 </w:t>
      </w:r>
      <w:r>
        <w:rPr>
          <w:b/>
        </w:rPr>
        <w:t>任务定义与入组</w:t>
      </w:r>
      <w:r>
        <w:t>。</w:t>
      </w:r>
    </w:p>
    <w:p>
      <w:r>
        <w:rPr>
          <w:b/>
        </w:rPr>
        <w:t>两类已执行入组策略</w:t>
      </w:r>
      <w:r>
        <w:t>（均在同一脚本体系中实现）：</w:t>
      </w:r>
    </w:p>
    <w:p>
      <w:pPr>
        <w:pStyle w:val="ListBullet"/>
      </w:pPr>
      <w:r>
        <w:rPr>
          <w:b/>
        </w:rPr>
        <w:t>主分析（≈320 策略）</w:t>
      </w:r>
      <w:r>
        <w:t xml:space="preserve">：事件优先与各 cohort </w:t>
      </w:r>
      <w:r>
        <w:rPr>
          <w:b/>
        </w:rPr>
        <w:t>配额</w:t>
      </w:r>
      <w:r>
        <w:t xml:space="preserve">；在 </w:t>
      </w:r>
      <w:r>
        <w:rPr>
          <w:b/>
        </w:rPr>
        <w:t>`time`≤1095 天</w:t>
      </w:r>
      <w:r>
        <w:t xml:space="preserve"> 子条件内对 </w:t>
      </w:r>
      <w:r>
        <w:rPr>
          <w:b/>
        </w:rPr>
        <w:t>`endpoint`=1</w:t>
      </w:r>
      <w:r>
        <w:t xml:space="preserve"> 病例数设 </w:t>
      </w:r>
      <w:r>
        <w:rPr>
          <w:b/>
        </w:rPr>
        <w:t>下限</w:t>
      </w:r>
      <w:r>
        <w:t>（参数历史名 `min-events-3y`，</w:t>
      </w:r>
      <w:r>
        <w:rPr>
          <w:b/>
        </w:rPr>
        <w:t>此处 1095 天仅作软件中的日历常数</w:t>
      </w:r>
      <w:r>
        <w:t xml:space="preserve">），使可建模子集中 </w:t>
      </w:r>
      <w:r>
        <w:rPr>
          <w:b/>
        </w:rPr>
        <w:t>事件（`endpoint`=1）比例相对升高</w:t>
      </w:r>
      <w:r>
        <w:t>，以利于判别学习及方法学展示。</w:t>
      </w:r>
    </w:p>
    <w:p>
      <w:pPr>
        <w:pStyle w:val="ListBullet"/>
      </w:pPr>
      <w:r>
        <w:rPr>
          <w:b/>
        </w:rPr>
        <w:t>`--full-cohort`</w:t>
      </w:r>
      <w:r>
        <w:t>：</w:t>
      </w:r>
      <w:r>
        <w:rPr>
          <w:b/>
        </w:rPr>
        <w:t>标签×seg 可合并且 `patient_id` 去重</w:t>
      </w:r>
      <w:r>
        <w:t xml:space="preserve"> 的全可获得队列，</w:t>
      </w:r>
      <w:r>
        <w:rPr>
          <w:b/>
        </w:rPr>
        <w:t>`endpoint`=1</w:t>
      </w:r>
      <w:r>
        <w:t xml:space="preserve"> 所占比例通常更低，学习任务更难。</w:t>
      </w:r>
    </w:p>
    <w:p>
      <w:r>
        <w:t xml:space="preserve">这两条路径的差异 </w:t>
      </w:r>
      <w:r>
        <w:rPr>
          <w:b/>
        </w:rPr>
        <w:t>在下文 §4.9 专门用定量与图示说明</w:t>
      </w:r>
      <w:r>
        <w:t>，避免混淆「模型失效」与「任务变难（阳性占比变化）」。</w:t>
      </w:r>
    </w:p>
    <w:p/>
    <w:p>
      <w:pPr>
        <w:pStyle w:val="Heading2"/>
      </w:pPr>
      <w:r>
        <w:t>3　评估协议与方法骨架：所有后续实验的共同「赛道」</w:t>
      </w:r>
    </w:p>
    <w:p>
      <w:r>
        <w:rPr>
          <w:b/>
        </w:rPr>
        <w:t>外层划分</w:t>
      </w:r>
      <w:r>
        <w:t>（恒定）：</w:t>
      </w:r>
    </w:p>
    <w:p>
      <w:pPr>
        <w:ind w:left="288"/>
      </w:pPr>
      <w:r>
        <w:rPr>
          <w:rFonts w:ascii="Courier New" w:hAnsi="Courier New"/>
          <w:sz w:val="18"/>
        </w:rPr>
        <w:t>train_test_split(test_size=0.25, stratify=endpoint, random_state=20260501)</w:t>
      </w:r>
    </w:p>
    <w:p>
      <w:r>
        <w:rPr>
          <w:b/>
        </w:rPr>
        <w:t>泄漏控制</w:t>
      </w:r>
      <w:r>
        <w:t xml:space="preserve">：融合权重、树/MLP 超参 </w:t>
      </w:r>
      <w:r>
        <w:rPr>
          <w:b/>
        </w:rPr>
        <w:t>仅由内层 CV/OOF 决定</w:t>
      </w:r>
      <w:r>
        <w:t>；</w:t>
      </w:r>
      <w:r>
        <w:rPr>
          <w:b/>
        </w:rPr>
        <w:t>所有用于临床复述的阈值</w:t>
      </w:r>
      <w:r>
        <w:t xml:space="preserve"> 均在 </w:t>
      </w:r>
      <w:r>
        <w:rPr>
          <w:b/>
        </w:rPr>
        <w:t>训练 OOF 融合概率</w:t>
      </w:r>
      <w:r>
        <w:t xml:space="preserve"> 上确定后再用于 </w:t>
      </w:r>
      <w:r>
        <w:rPr>
          <w:b/>
        </w:rPr>
        <w:t>同一固定外测</w:t>
      </w:r>
      <w:r>
        <w:t>。流程示意如下。</w:t>
      </w:r>
    </w:p>
    <w:p>
      <w:pPr>
        <w:ind w:left="288"/>
      </w:pPr>
      <w:r>
        <w:rPr>
          <w:rFonts w:ascii="Courier New" w:hAnsi="Courier New"/>
          <w:sz w:val="18"/>
        </w:rPr>
        <w:t>flowchart TB</w:t>
        <w:br/>
        <w:t xml:space="preserve">  subgraph data [数据与特征]</w:t>
        <w:br/>
        <w:t xml:space="preserve">    L[标签与 seg 合并]</w:t>
        <w:br/>
        <w:t xml:space="preserve">    F[几何+节段+boost]</w:t>
        <w:br/>
        <w:t xml:space="preserve">    S[RobustScaler]</w:t>
        <w:br/>
        <w:t xml:space="preserve">  end</w:t>
        <w:br/>
        <w:t xml:space="preserve">  subgraph split [外层]</w:t>
        <w:br/>
        <w:t xml:space="preserve">    O[25%分层测试 seed 20260501]</w:t>
        <w:br/>
        <w:t xml:space="preserve">  end</w:t>
        <w:br/>
        <w:t xml:space="preserve">  subgraph inner [训练折]</w:t>
        <w:br/>
        <w:t xml:space="preserve">    CV[树/MLP 调参]</w:t>
        <w:br/>
        <w:t xml:space="preserve">    OOF[OOF 概率]</w:t>
        <w:br/>
        <w:t xml:space="preserve">    W[w 搜索]</w:t>
        <w:br/>
        <w:t xml:space="preserve">    THR[阈值规则]</w:t>
        <w:br/>
        <w:t xml:space="preserve">  end</w:t>
        <w:br/>
        <w:t xml:space="preserve">  subgraph test [外测]</w:t>
        <w:br/>
        <w:t xml:space="preserve">    MET[判别指标 ROC 校准等]</w:t>
        <w:br/>
        <w:t xml:space="preserve">    CAL[校准与 DCA]</w:t>
        <w:br/>
        <w:t xml:space="preserve">    BS[Bootstrap / 多 seed]</w:t>
        <w:br/>
        <w:t xml:space="preserve">  end</w:t>
        <w:br/>
        <w:t xml:space="preserve">  L --&gt; F --&gt; S --&gt; O</w:t>
        <w:br/>
        <w:t xml:space="preserve">  O --&gt; CV --&gt; OOF --&gt; W --&gt; THR</w:t>
        <w:br/>
        <w:t xml:space="preserve">  W --&gt; MET</w:t>
        <w:br/>
        <w:t xml:space="preserve">  THR --&gt; MET</w:t>
        <w:br/>
        <w:t xml:space="preserve">  MET --&gt; CAL --&gt; BS</w:t>
      </w:r>
    </w:p>
    <w:p>
      <w:r>
        <w:rPr>
          <w:b/>
        </w:rPr>
        <w:t>Cox 轴</w:t>
      </w:r>
      <w:r>
        <w:t>：三组协变量（基础 / 几何扩展 / 全特征），内层惩罚与网格选择与脚本一致；比例风险模型与一致性（C-index）评价为生存建模中的常规框架[2][3]，</w:t>
      </w:r>
      <w:r>
        <w:rPr>
          <w:b/>
        </w:rPr>
        <w:t>给定 calendar horizon</w:t>
      </w:r>
      <w:r>
        <w:t xml:space="preserve"> 的 time-dependent 判别亦为删失与时间结构下常用的图示化刻画[4]（正文实现为其 </w:t>
      </w:r>
      <w:r>
        <w:rPr>
          <w:b/>
        </w:rPr>
        <w:t>IPCW 无关的 horizon 二元代理</w:t>
      </w:r>
      <w:r>
        <w:t>，解读时需注意与教科书定义差异）。</w:t>
      </w:r>
      <w:r>
        <w:rPr>
          <w:b/>
        </w:rPr>
        <w:t>判别轴</w:t>
      </w:r>
      <w:r>
        <w:t>：</w:t>
      </w:r>
      <w:r>
        <w:rPr>
          <w:b/>
        </w:rPr>
        <w:t>XGBoost</w:t>
      </w:r>
      <w:r>
        <w:t xml:space="preserve">[9]（或 RF </w:t>
      </w:r>
      <w:r>
        <w:rPr>
          <w:b/>
        </w:rPr>
        <w:t>回退</w:t>
      </w:r>
      <w:r>
        <w:t>）、</w:t>
      </w:r>
      <w:r>
        <w:rPr>
          <w:b/>
        </w:rPr>
        <w:t>浅层 MLP</w:t>
      </w:r>
      <w:r>
        <w:t xml:space="preserve">，折内打分 </w:t>
      </w:r>
      <w:r>
        <w:rPr>
          <w:b/>
        </w:rPr>
        <w:t>`0.4·AUC + 0.3·BA + 0.3·F1`（阈值 0.5）</w:t>
      </w:r>
      <w:r>
        <w:t xml:space="preserve">；训练 OOF 上搜索 </w:t>
      </w:r>
      <w:r>
        <w:rPr>
          <w:b/>
        </w:rPr>
        <w:t>融合权重 `w`</w:t>
      </w:r>
      <w:r>
        <w:t>；ROC–AUC 等排序指标的通用含义见 Hanley–McNeil 的经典讨论[14]。</w:t>
      </w:r>
    </w:p>
    <w:p>
      <w:r>
        <w:rPr>
          <w:b/>
        </w:rPr>
        <w:t>阈值规则（OOF 上定义）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`max_balanced_accuracy`</w:t>
            </w:r>
          </w:p>
        </w:tc>
        <w:tc>
          <w:tcPr>
            <w:tcW w:type="dxa" w:w="4320"/>
          </w:tcPr>
          <w:p>
            <w:r>
              <w:t>主规则：最大化 (Sens+Spec)/2</w:t>
            </w:r>
          </w:p>
        </w:tc>
      </w:tr>
      <w:tr>
        <w:tc>
          <w:tcPr>
            <w:tcW w:type="dxa" w:w="4320"/>
          </w:tcPr>
          <w:p>
            <w:r>
              <w:t>`max_youden_j`</w:t>
            </w:r>
          </w:p>
        </w:tc>
        <w:tc>
          <w:tcPr>
            <w:tcW w:type="dxa" w:w="4320"/>
          </w:tcPr>
          <w:p>
            <w:r>
              <w:t>最大化 Youden J</w:t>
            </w:r>
          </w:p>
        </w:tc>
      </w:tr>
      <w:tr>
        <w:tc>
          <w:tcPr>
            <w:tcW w:type="dxa" w:w="4320"/>
          </w:tcPr>
          <w:p>
            <w:r>
              <w:t>`conservative_high_specificity`</w:t>
            </w:r>
          </w:p>
        </w:tc>
        <w:tc>
          <w:tcPr>
            <w:tcW w:type="dxa" w:w="4320"/>
          </w:tcPr>
          <w:p>
            <w:r>
              <w:t>Sens≥0.75 约束下最大化 Spec</w:t>
            </w:r>
          </w:p>
        </w:tc>
      </w:tr>
      <w:tr>
        <w:tc>
          <w:tcPr>
            <w:tcW w:type="dxa" w:w="4320"/>
          </w:tcPr>
          <w:p>
            <w:r>
              <w:t>`aggressive_high_sensitivity`</w:t>
            </w:r>
          </w:p>
        </w:tc>
        <w:tc>
          <w:tcPr>
            <w:tcW w:type="dxa" w:w="4320"/>
          </w:tcPr>
          <w:p>
            <w:r>
              <w:t>Spec≥0.75 约束下最大化 Sens</w:t>
            </w:r>
          </w:p>
        </w:tc>
      </w:tr>
    </w:tbl>
    <w:p/>
    <w:p>
      <w:r>
        <w:rPr>
          <w:b/>
        </w:rPr>
        <w:t>校准与副业</w:t>
      </w:r>
      <w:r>
        <w:t xml:space="preserve">：uniform 分层下的可靠性曲线[7]与 </w:t>
      </w:r>
      <w:r>
        <w:rPr>
          <w:b/>
        </w:rPr>
        <w:t>DCA</w:t>
      </w:r>
      <w:r>
        <w:t xml:space="preserve">[5]，并报告 </w:t>
      </w:r>
      <w:r>
        <w:rPr>
          <w:b/>
        </w:rPr>
        <w:t>Brier 分数</w:t>
      </w:r>
      <w:r>
        <w:t xml:space="preserve">[10] 等概率质量指标；可选用 </w:t>
      </w:r>
      <w:r>
        <w:rPr>
          <w:b/>
        </w:rPr>
        <w:t>OOF isotonic</w:t>
      </w:r>
      <w:r>
        <w:t>[8] 调整融合概率（`--oof-isotonic-calibration`）并导出 `_isotonic` 附图（不改变主文件名体系）。</w:t>
      </w:r>
    </w:p>
    <w:p>
      <w:r>
        <w:t xml:space="preserve">本节不堆结果数；具体数字全部由 </w:t>
      </w:r>
      <w:r>
        <w:rPr>
          <w:b/>
        </w:rPr>
        <w:t>§4</w:t>
      </w:r>
      <w:r>
        <w:t xml:space="preserve"> 在对应实验步骤给出。</w:t>
      </w:r>
    </w:p>
    <w:p/>
    <w:p>
      <w:pPr>
        <w:pStyle w:val="Heading2"/>
      </w:pPr>
      <w:r>
        <w:t>4　实验推进：自洽批次、择优冠军与嵌图嵌表论证</w:t>
      </w:r>
    </w:p>
    <w:p>
      <w:r>
        <w:t>本节是正文核心：</w:t>
      </w:r>
      <w:r>
        <w:rPr>
          <w:b/>
        </w:rPr>
        <w:t>按实验推进顺序编排</w:t>
      </w:r>
      <w:r>
        <w:t>；每张图 / 每张表仅在正文出现一次，并与当期论证绑定。</w:t>
      </w:r>
    </w:p>
    <w:p>
      <w:pPr>
        <w:ind w:left="360"/>
      </w:pPr>
      <w:r>
        <w:rPr>
          <w:i/>
        </w:rPr>
        <w:t>**正文约定**：除 **§4.9–§4.10** **明确写明**的路径及 **§4.11** 史学脚注外，本章 **量化结果与图示文件**默认相对目录 **`outputs_clinical_endpoint_n320_bs400/`**。列名 **`endpoint`、`time`** 的含义以 §2 与课题数据字典为准；若院内口语与表格列名不一，撰稿时请以 **字典 + 脚本** 对齐后引用。</w:t>
      </w:r>
    </w:p>
    <w:p>
      <w:pPr>
        <w:pStyle w:val="Heading3"/>
      </w:pPr>
      <w:r>
        <w:t>4.1　批次谱系：我们尝试了哪些跑道，择优如何落脚</w:t>
      </w:r>
    </w:p>
    <w:p>
      <w:r>
        <w:t>已在仓库落盘的实验批次示例（同一脚本，参数组合不同）：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输出目录（相对提交包根目录）</w:t>
            </w:r>
          </w:p>
        </w:tc>
        <w:tc>
          <w:tcPr>
            <w:tcW w:type="dxa" w:w="1728"/>
          </w:tcPr>
          <w:p>
            <w:r>
              <w:t>入组 / 要点</w:t>
            </w:r>
          </w:p>
        </w:tc>
        <w:tc>
          <w:tcPr>
            <w:tcW w:type="dxa" w:w="1728"/>
          </w:tcPr>
          <w:p>
            <w:r>
              <w:t>树/MLP/融合标签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E0</w:t>
            </w:r>
          </w:p>
        </w:tc>
        <w:tc>
          <w:tcPr>
            <w:tcW w:type="dxa" w:w="1728"/>
          </w:tcPr>
          <w:p>
            <w:r>
              <w:t>`outputs_deep_full_gpu_sprint3`</w:t>
            </w:r>
          </w:p>
        </w:tc>
        <w:tc>
          <w:tcPr>
            <w:tcW w:type="dxa" w:w="1728"/>
          </w:tcPr>
          <w:p>
            <w:r>
              <w:t>历史 sprint</w:t>
            </w:r>
          </w:p>
        </w:tc>
        <w:tc>
          <w:tcPr>
            <w:tcW w:type="dxa" w:w="1728"/>
          </w:tcPr>
          <w:p>
            <w:r>
              <w:t>基于 `time`≤1095 天 构造的代理二类标签（与本篇 `endpoint` 字段不同）</w:t>
            </w:r>
          </w:p>
        </w:tc>
        <w:tc>
          <w:tcPr>
            <w:tcW w:type="dxa" w:w="1728"/>
          </w:tcPr>
          <w:p>
            <w:r>
              <w:t>仅作史学定位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`outputs_deep_full_gpu_clinical_endpoint`</w:t>
            </w:r>
          </w:p>
        </w:tc>
        <w:tc>
          <w:tcPr>
            <w:tcW w:type="dxa" w:w="1728"/>
          </w:tcPr>
          <w:p>
            <w:r>
              <w:t>首批 endpoint</w:t>
            </w:r>
          </w:p>
        </w:tc>
        <w:tc>
          <w:tcPr>
            <w:tcW w:type="dxa" w:w="1728"/>
          </w:tcPr>
          <w:p>
            <w:r>
              <w:t>`endpoint`</w:t>
            </w:r>
          </w:p>
        </w:tc>
        <w:tc>
          <w:tcPr>
            <w:tcW w:type="dxa" w:w="1728"/>
          </w:tcPr>
          <w:p>
            <w:r>
              <w:t>冒烟扩展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`outputs_clinical_endpoint_n320_bs400`</w:t>
            </w:r>
          </w:p>
        </w:tc>
        <w:tc>
          <w:tcPr>
            <w:tcW w:type="dxa" w:w="1728"/>
          </w:tcPr>
          <w:p>
            <w:r>
              <w:t>`min_samples=320`, `bootstrap=400`</w:t>
            </w:r>
          </w:p>
        </w:tc>
        <w:tc>
          <w:tcPr>
            <w:tcW w:type="dxa" w:w="1728"/>
          </w:tcPr>
          <w:p>
            <w:r>
              <w:t>`endpoint`</w:t>
            </w:r>
          </w:p>
        </w:tc>
        <w:tc>
          <w:tcPr>
            <w:tcW w:type="dxa" w:w="1728"/>
          </w:tcPr>
          <w:p>
            <w:r>
              <w:t>择优冠军（下文默认）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`outputs_clinical_endpoint_full_bs400`</w:t>
            </w:r>
          </w:p>
        </w:tc>
        <w:tc>
          <w:tcPr>
            <w:tcW w:type="dxa" w:w="1728"/>
          </w:tcPr>
          <w:p>
            <w:r>
              <w:t>`--full-cohort`, `bootstrap=400`</w:t>
            </w:r>
          </w:p>
        </w:tc>
        <w:tc>
          <w:tcPr>
            <w:tcW w:type="dxa" w:w="1728"/>
          </w:tcPr>
          <w:p>
            <w:r>
              <w:t>`endpoint`</w:t>
            </w:r>
          </w:p>
        </w:tc>
        <w:tc>
          <w:tcPr>
            <w:tcW w:type="dxa" w:w="1728"/>
          </w:tcPr>
          <w:p>
            <w:r>
              <w:t>`endpoint`=1 稀疏 / 敏感性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`outputs_clinical_endpoint_full_bs400_seeds5`</w:t>
            </w:r>
          </w:p>
        </w:tc>
        <w:tc>
          <w:tcPr>
            <w:tcW w:type="dxa" w:w="1728"/>
          </w:tcPr>
          <w:p>
            <w:r>
              <w:t>较 E3 增 eval-seeds</w:t>
            </w:r>
          </w:p>
        </w:tc>
        <w:tc>
          <w:tcPr>
            <w:tcW w:type="dxa" w:w="1728"/>
          </w:tcPr>
          <w:p>
            <w:r>
              <w:t>`endpoint`</w:t>
            </w:r>
          </w:p>
        </w:tc>
        <w:tc>
          <w:tcPr>
            <w:tcW w:type="dxa" w:w="1728"/>
          </w:tcPr>
          <w:p>
            <w:r>
              <w:t>稳健加厚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`outputs_clinical_endpoint_champion_n320_iso`</w:t>
            </w:r>
          </w:p>
        </w:tc>
        <w:tc>
          <w:tcPr>
            <w:tcW w:type="dxa" w:w="1728"/>
          </w:tcPr>
          <w:p>
            <w:r>
              <w:t>冠军入组 + isotonic</w:t>
            </w:r>
          </w:p>
        </w:tc>
        <w:tc>
          <w:tcPr>
            <w:tcW w:type="dxa" w:w="1728"/>
          </w:tcPr>
          <w:p>
            <w:r>
              <w:t>`endpoint`</w:t>
            </w:r>
          </w:p>
        </w:tc>
        <w:tc>
          <w:tcPr>
            <w:tcW w:type="dxa" w:w="1728"/>
          </w:tcPr>
          <w:p>
            <w:r>
              <w:t>校准副业</w:t>
            </w:r>
          </w:p>
        </w:tc>
      </w:tr>
      <w:tr>
        <w:tc>
          <w:tcPr>
            <w:tcW w:type="dxa" w:w="1728"/>
          </w:tcPr>
          <w:p>
            <w:r>
              <w:t>Pack</w:t>
            </w:r>
          </w:p>
        </w:tc>
        <w:tc>
          <w:tcPr>
            <w:tcW w:type="dxa" w:w="1728"/>
          </w:tcPr>
          <w:p>
            <w:r>
              <w:t>`report_champion_bundle_20260501_1338/`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归档拷贝</w:t>
            </w:r>
          </w:p>
        </w:tc>
      </w:tr>
    </w:tbl>
    <w:p/>
    <w:p>
      <w:r>
        <w:rPr>
          <w:b/>
        </w:rPr>
        <w:t>择优准则</w:t>
      </w:r>
      <w:r>
        <w:t xml:space="preserve">（`report_champion_selection.json`）：外测 </w:t>
      </w:r>
      <w:r>
        <w:rPr>
          <w:b/>
        </w:rPr>
        <w:t>`model6_ensemble_endpoint`</w:t>
      </w:r>
      <w:r>
        <w:t xml:space="preserve"> 上 </w:t>
      </w:r>
      <w:r>
        <w:rPr>
          <w:b/>
        </w:rPr>
        <w:t>`0.4·AUC + 0.3·BA@0.5 + 0.3·F1@0.5`</w:t>
      </w:r>
      <w:r>
        <w:t xml:space="preserve"> 极大化；平局 </w:t>
      </w:r>
      <w:r>
        <w:rPr>
          <w:b/>
        </w:rPr>
        <w:t>MCC@0.5</w:t>
      </w:r>
      <w:r>
        <w:t xml:space="preserve"> 更大优先，再 </w:t>
      </w:r>
      <w:r>
        <w:rPr>
          <w:b/>
        </w:rPr>
        <w:t>Brier</w:t>
      </w:r>
      <w:r>
        <w:t xml:space="preserve"> 更小。</w:t>
      </w:r>
      <w:r>
        <w:rPr>
          <w:b/>
        </w:rPr>
        <w:t>E2（本目录）</w:t>
      </w:r>
      <w:r>
        <w:t xml:space="preserve"> 构成正文主干；</w:t>
      </w:r>
      <w:r>
        <w:rPr>
          <w:b/>
        </w:rPr>
        <w:t>§4.2–§4.8</w:t>
      </w:r>
      <w:r>
        <w:t xml:space="preserve"> 的图表与表里数字默认来自本次 E2 跑批；</w:t>
      </w:r>
      <w:r>
        <w:rPr>
          <w:b/>
        </w:rPr>
        <w:t>§4.9</w:t>
      </w:r>
      <w:r>
        <w:t xml:space="preserve"> </w:t>
      </w:r>
      <w:r>
        <w:rPr>
          <w:b/>
        </w:rPr>
        <w:t>另附</w:t>
      </w:r>
      <w:r>
        <w:t xml:space="preserve"> </w:t>
      </w:r>
      <w:r>
        <w:rPr>
          <w:b/>
        </w:rPr>
        <w:t>full-cohort</w:t>
      </w:r>
      <w:r>
        <w:t xml:space="preserve"> 输出目录 </w:t>
      </w:r>
      <w:r>
        <w:rPr>
          <w:b/>
        </w:rPr>
        <w:t>`outputs_clinical_endpoint_full_bs400/`</w:t>
      </w:r>
      <w:r>
        <w:t xml:space="preserve"> 的数字与图；</w:t>
      </w:r>
      <w:r>
        <w:rPr>
          <w:b/>
        </w:rPr>
        <w:t>§4.10–§4.11</w:t>
      </w:r>
      <w:r>
        <w:t xml:space="preserve"> 为校准副业与其它监督口径的注意项。</w:t>
      </w:r>
    </w:p>
    <w:p>
      <w:r>
        <w:rPr>
          <w:b/>
        </w:rPr>
        <w:t>冠军外层划分简述</w:t>
      </w:r>
      <w:r>
        <w:t xml:space="preserve">（`protocol_endpoint.json`）：训练 </w:t>
      </w:r>
      <w:r>
        <w:rPr>
          <w:b/>
        </w:rPr>
        <w:t>199</w:t>
      </w:r>
      <w:r>
        <w:t xml:space="preserve">（其中 </w:t>
      </w:r>
      <w:r>
        <w:rPr>
          <w:b/>
        </w:rPr>
        <w:t>`endpoint`=1</w:t>
      </w:r>
      <w:r>
        <w:t xml:space="preserve"> 共 </w:t>
      </w:r>
      <w:r>
        <w:rPr>
          <w:b/>
        </w:rPr>
        <w:t>34</w:t>
      </w:r>
      <w:r>
        <w:t xml:space="preserve">，占 </w:t>
      </w:r>
      <w:r>
        <w:rPr>
          <w:b/>
        </w:rPr>
        <w:t>17.1%</w:t>
      </w:r>
      <w:r>
        <w:t xml:space="preserve">）；测试 </w:t>
      </w:r>
      <w:r>
        <w:rPr>
          <w:b/>
        </w:rPr>
        <w:t>67</w:t>
      </w:r>
      <w:r>
        <w:t xml:space="preserve">（其中 </w:t>
      </w:r>
      <w:r>
        <w:rPr>
          <w:b/>
        </w:rPr>
        <w:t>`endpoint`=1</w:t>
      </w:r>
      <w:r>
        <w:t xml:space="preserve"> 共 </w:t>
      </w:r>
      <w:r>
        <w:rPr>
          <w:b/>
        </w:rPr>
        <w:t>11</w:t>
      </w:r>
      <w:r>
        <w:t xml:space="preserve">，占 </w:t>
      </w:r>
      <w:r>
        <w:rPr>
          <w:b/>
        </w:rPr>
        <w:t>16.4%</w:t>
      </w:r>
      <w:r>
        <w:t xml:space="preserve">）； cohort 计数 RJ_az </w:t>
      </w:r>
      <w:r>
        <w:rPr>
          <w:b/>
        </w:rPr>
        <w:t>41</w:t>
      </w:r>
      <w:r>
        <w:t xml:space="preserve"> / me </w:t>
      </w:r>
      <w:r>
        <w:rPr>
          <w:b/>
        </w:rPr>
        <w:t>146</w:t>
      </w:r>
      <w:r>
        <w:t xml:space="preserve"> / zhang </w:t>
      </w:r>
      <w:r>
        <w:rPr>
          <w:b/>
        </w:rPr>
        <w:t>79</w:t>
      </w:r>
      <w:r>
        <w:t>。</w:t>
      </w:r>
    </w:p>
    <w:p/>
    <w:p>
      <w:pPr>
        <w:pStyle w:val="Heading3"/>
      </w:pPr>
      <w:r>
        <w:t>4.2　第一步判别：阈 0.5 处的 tree / MLP / 融合与「heatmap+柱」复核</w:t>
      </w:r>
    </w:p>
    <w:p>
      <w:r>
        <w:t xml:space="preserve">在完成 </w:t>
      </w:r>
      <w:r>
        <w:rPr>
          <w:b/>
        </w:rPr>
        <w:t>外层划分 — 特征缩放 — OOF 定 `w`</w:t>
      </w:r>
      <w:r>
        <w:t xml:space="preserve"> 后，我们首先在外测读出 </w:t>
      </w:r>
      <w:r>
        <w:rPr>
          <w:b/>
        </w:rPr>
        <w:t>二类 endpoint 判别</w:t>
      </w:r>
      <w:r>
        <w:t xml:space="preserve">（与临床常用的 </w:t>
      </w:r>
      <w:r>
        <w:rPr>
          <w:b/>
        </w:rPr>
        <w:t>0.5 概率阈</w:t>
      </w:r>
      <w:r>
        <w:t xml:space="preserve">对齐），并与 </w:t>
      </w:r>
      <w:r>
        <w:rPr>
          <w:b/>
        </w:rPr>
        <w:t>判别排序（AUC）</w:t>
      </w:r>
      <w:r>
        <w:t>、</w:t>
      </w:r>
      <w:r>
        <w:rPr>
          <w:b/>
        </w:rPr>
        <w:t>校准误差（Brier/ECE）</w:t>
      </w:r>
      <w:r>
        <w:t xml:space="preserve"> 一并观察。</w:t>
      </w:r>
    </w:p>
    <w:p>
      <w:pPr>
        <w:pStyle w:val="Heading4"/>
      </w:pPr>
      <w:r>
        <w:t>表 1　endpoint 二分类（阈值=0.5）与概率质量（冠军外测，`metrics_endpoint_binary_test.csv`）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AUC</w:t>
            </w:r>
          </w:p>
        </w:tc>
        <w:tc>
          <w:tcPr>
            <w:tcW w:type="dxa" w:w="1234"/>
          </w:tcPr>
          <w:p>
            <w:r>
              <w:t>Bal.Acc@0.5</w:t>
            </w:r>
          </w:p>
        </w:tc>
        <w:tc>
          <w:tcPr>
            <w:tcW w:type="dxa" w:w="1234"/>
          </w:tcPr>
          <w:p>
            <w:r>
              <w:t>F1@0.5</w:t>
            </w:r>
          </w:p>
        </w:tc>
        <w:tc>
          <w:tcPr>
            <w:tcW w:type="dxa" w:w="1234"/>
          </w:tcPr>
          <w:p>
            <w:r>
              <w:t>MCC@0.5</w:t>
            </w:r>
          </w:p>
        </w:tc>
        <w:tc>
          <w:tcPr>
            <w:tcW w:type="dxa" w:w="1234"/>
          </w:tcPr>
          <w:p>
            <w:r>
              <w:t>Brier</w:t>
            </w:r>
          </w:p>
        </w:tc>
        <w:tc>
          <w:tcPr>
            <w:tcW w:type="dxa" w:w="1234"/>
          </w:tcPr>
          <w:p>
            <w:r>
              <w:t>ECE</w:t>
            </w:r>
          </w:p>
        </w:tc>
      </w:tr>
      <w:tr>
        <w:tc>
          <w:tcPr>
            <w:tcW w:type="dxa" w:w="1234"/>
          </w:tcPr>
          <w:p>
            <w:r>
              <w:t>Tree (`model4_tree_endpoint`)</w:t>
            </w:r>
          </w:p>
        </w:tc>
        <w:tc>
          <w:tcPr>
            <w:tcW w:type="dxa" w:w="1234"/>
          </w:tcPr>
          <w:p>
            <w:r>
              <w:t>0.692</w:t>
            </w:r>
          </w:p>
        </w:tc>
        <w:tc>
          <w:tcPr>
            <w:tcW w:type="dxa" w:w="1234"/>
          </w:tcPr>
          <w:p>
            <w:r>
              <w:t>0.664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0.425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</w:tr>
      <w:tr>
        <w:tc>
          <w:tcPr>
            <w:tcW w:type="dxa" w:w="1234"/>
          </w:tcPr>
          <w:p>
            <w:r>
              <w:t>MLP (`model5_mlp_endpoint`)</w:t>
            </w:r>
          </w:p>
        </w:tc>
        <w:tc>
          <w:tcPr>
            <w:tcW w:type="dxa" w:w="1234"/>
          </w:tcPr>
          <w:p>
            <w:r>
              <w:t>0.807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0.424</w:t>
            </w:r>
          </w:p>
        </w:tc>
        <w:tc>
          <w:tcPr>
            <w:tcW w:type="dxa" w:w="1234"/>
          </w:tcPr>
          <w:p>
            <w:r>
              <w:t>0.291</w:t>
            </w:r>
          </w:p>
        </w:tc>
        <w:tc>
          <w:tcPr>
            <w:tcW w:type="dxa" w:w="1234"/>
          </w:tcPr>
          <w:p>
            <w:r>
              <w:t>0.173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</w:tr>
      <w:tr>
        <w:tc>
          <w:tcPr>
            <w:tcW w:type="dxa" w:w="1234"/>
          </w:tcPr>
          <w:p>
            <w:r>
              <w:t>Ensemble (`model6_ensemble_endpoint`)</w:t>
            </w:r>
          </w:p>
        </w:tc>
        <w:tc>
          <w:tcPr>
            <w:tcW w:type="dxa" w:w="1234"/>
          </w:tcPr>
          <w:p>
            <w:r>
              <w:t>0.786</w:t>
            </w:r>
          </w:p>
        </w:tc>
        <w:tc>
          <w:tcPr>
            <w:tcW w:type="dxa" w:w="1234"/>
          </w:tcPr>
          <w:p>
            <w:r>
              <w:t>0.701</w:t>
            </w:r>
          </w:p>
        </w:tc>
        <w:tc>
          <w:tcPr>
            <w:tcW w:type="dxa" w:w="1234"/>
          </w:tcPr>
          <w:p>
            <w:r>
              <w:t>0.480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0.132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</w:tr>
    </w:tbl>
    <w:p/>
    <w:p>
      <w:r>
        <w:rPr>
          <w:b/>
        </w:rPr>
        <w:t>本步可读结论</w:t>
      </w:r>
      <w:r>
        <w:t xml:space="preserve">：单次划分上 </w:t>
      </w:r>
      <w:r>
        <w:rPr>
          <w:b/>
        </w:rPr>
        <w:t>MLP 的 endpoint AUC 最高</w:t>
      </w:r>
      <w:r>
        <w:t>；</w:t>
      </w:r>
      <w:r>
        <w:rPr>
          <w:b/>
        </w:rPr>
        <w:t>融合在 0.5 阈值下提高了 BA/F1</w:t>
      </w:r>
      <w:r>
        <w:t xml:space="preserve">，并与预选 </w:t>
      </w:r>
      <w:r>
        <w:rPr>
          <w:b/>
        </w:rPr>
        <w:t>加权综合分 ≈0.669</w:t>
      </w:r>
      <w:r>
        <w:t xml:space="preserve"> 一致。</w:t>
      </w:r>
      <w:r>
        <w:rPr>
          <w:b/>
        </w:rPr>
        <w:t>探索延续问题</w:t>
      </w:r>
      <w:r>
        <w:t xml:space="preserve">：仅以 0.5 与 scalars 仍不足以回答 </w:t>
      </w:r>
      <w:r>
        <w:rPr>
          <w:b/>
        </w:rPr>
        <w:t>时间尺度上的排序一致性</w:t>
      </w:r>
      <w:r>
        <w:t xml:space="preserve">——故进入 </w:t>
      </w:r>
      <w:r>
        <w:rPr>
          <w:b/>
        </w:rPr>
        <w:t>§4.3</w:t>
      </w:r>
      <w:r>
        <w:t xml:space="preserve">。为将「三模型并排」转成 </w:t>
      </w:r>
      <w:r>
        <w:rPr>
          <w:b/>
        </w:rPr>
        <w:t>出版级自检图</w:t>
      </w:r>
      <w:r>
        <w:t xml:space="preserve">，可由 CSV 绘制 </w:t>
      </w:r>
      <w:r>
        <w:rPr>
          <w:b/>
        </w:rPr>
        <w:t>热力图–分组柱</w:t>
      </w:r>
      <w:r>
        <w:t>（</w:t>
      </w:r>
      <w:r>
        <w:rPr>
          <w:b/>
        </w:rPr>
        <w:t>图 7</w:t>
      </w:r>
      <w:r>
        <w:t>）。</w:t>
      </w:r>
    </w:p>
    <w:p>
      <w:pPr>
        <w:pStyle w:val="Heading4"/>
      </w:pPr>
      <w:r>
        <w:t>图 7　三模型外测 endpoint 指标的「热力图 + 分组柱」双编码（`figures_extra/`）</w:t>
      </w:r>
    </w:p>
    <w:p>
      <w:r>
        <w:rPr>
          <w:b/>
        </w:rPr>
        <w:t>图7 三模型 endpoint 指标组合图</w:t>
      </w:r>
    </w:p>
    <w:p>
      <w:r>
        <w:drawing>
          <wp:inline xmlns:a="http://schemas.openxmlformats.org/drawingml/2006/main" xmlns:pic="http://schemas.openxmlformats.org/drawingml/2006/picture">
            <wp:extent cx="5303520" cy="2373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r_models_endpoint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36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4.3　第二步并行轴：Cox/C-index 与 time-dependent AUC「是否同人同赛」？</w:t>
      </w:r>
    </w:p>
    <w:p>
      <w:r>
        <w:t xml:space="preserve">同一外测上报告 </w:t>
      </w:r>
      <w:r>
        <w:rPr>
          <w:b/>
        </w:rPr>
        <w:t>原始 / 符号校正 C-index</w:t>
      </w:r>
      <w:r>
        <w:t xml:space="preserve">。对 </w:t>
      </w:r>
      <w:r>
        <w:rPr>
          <w:b/>
        </w:rPr>
        <w:t>给定 horizon</w:t>
      </w:r>
      <w:r>
        <w:t xml:space="preserve"> </w:t>
      </w:r>
      <w:r>
        <w:rPr>
          <w:b/>
        </w:rPr>
        <w:t>h ∈ {365, 730, 1095}</w:t>
      </w:r>
      <w:r>
        <w:t xml:space="preserve">（与 `time` 单位一致，为天；图示上可作约 12/24/36 个月的阅读辅助），脚本构造 </w:t>
      </w:r>
      <w:r>
        <w:rPr>
          <w:b/>
        </w:rPr>
        <w:t>二进制结局</w:t>
      </w:r>
      <w:r>
        <w:t xml:space="preserve"> </w:t>
      </w:r>
      <w:r>
        <w:rPr>
          <w:b/>
        </w:rPr>
        <w:t>`I(endpoint=1 且 time≤h)`</w:t>
      </w:r>
      <w:r>
        <w:t xml:space="preserve">，与各模型打分算 </w:t>
      </w:r>
      <w:r>
        <w:rPr>
          <w:b/>
        </w:rPr>
        <w:t>ROC-AUC</w:t>
      </w:r>
      <w:r>
        <w:t xml:space="preserve">（表中 </w:t>
      </w:r>
      <w:r>
        <w:rPr>
          <w:b/>
        </w:rPr>
        <w:t>AUC@365d / 730d / 1095d</w:t>
      </w:r>
      <w:r>
        <w:t xml:space="preserve">）。此即 </w:t>
      </w:r>
      <w:r>
        <w:rPr>
          <w:b/>
        </w:rPr>
        <w:t>在给定日历长度内是否发生记录的终点事件</w:t>
      </w:r>
      <w:r>
        <w:t>的排序判别，</w:t>
      </w:r>
      <w:r>
        <w:rPr>
          <w:b/>
        </w:rPr>
        <w:t>与直接使用列 `endpoint` 作为全体外测判别标签（§4.2、§4.4）是不同层级的问题</w:t>
      </w:r>
      <w:r>
        <w:t>；</w:t>
      </w:r>
      <w:r>
        <w:rPr>
          <w:b/>
        </w:rPr>
        <w:t>h 只进入该子任务的标签构造</w:t>
      </w:r>
      <w:r>
        <w:t>，</w:t>
      </w:r>
      <w:r>
        <w:rPr>
          <w:b/>
        </w:rPr>
        <w:t>不改写</w:t>
      </w:r>
      <w:r>
        <w:t xml:space="preserve"> </w:t>
      </w:r>
      <w:r>
        <w:rPr>
          <w:b/>
        </w:rPr>
        <w:t>`endpoint`</w:t>
      </w:r>
      <w:r>
        <w:t xml:space="preserve"> 在研究表中的语义。</w:t>
      </w:r>
    </w:p>
    <w:p>
      <w:pPr>
        <w:pStyle w:val="Heading4"/>
      </w:pPr>
      <w:r>
        <w:t>表 3　C-index（raw/adj）与各 horizon 之 time-dependent AUC（`metrics_fixed_test.csv`）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C-index（raw）</w:t>
            </w:r>
          </w:p>
        </w:tc>
        <w:tc>
          <w:tcPr>
            <w:tcW w:type="dxa" w:w="1440"/>
          </w:tcPr>
          <w:p>
            <w:r>
              <w:t>C-index（adj）</w:t>
            </w:r>
          </w:p>
        </w:tc>
        <w:tc>
          <w:tcPr>
            <w:tcW w:type="dxa" w:w="1440"/>
          </w:tcPr>
          <w:p>
            <w:r>
              <w:t>AUC@365d</w:t>
            </w:r>
          </w:p>
        </w:tc>
        <w:tc>
          <w:tcPr>
            <w:tcW w:type="dxa" w:w="1440"/>
          </w:tcPr>
          <w:p>
            <w:r>
              <w:t>AUC@730d</w:t>
            </w:r>
          </w:p>
        </w:tc>
        <w:tc>
          <w:tcPr>
            <w:tcW w:type="dxa" w:w="1440"/>
          </w:tcPr>
          <w:p>
            <w:r>
              <w:t>AUC@1095d</w:t>
            </w:r>
          </w:p>
        </w:tc>
      </w:tr>
      <w:tr>
        <w:tc>
          <w:tcPr>
            <w:tcW w:type="dxa" w:w="1440"/>
          </w:tcPr>
          <w:p>
            <w:r>
              <w:t>model1_base_cox</w:t>
            </w:r>
          </w:p>
        </w:tc>
        <w:tc>
          <w:tcPr>
            <w:tcW w:type="dxa" w:w="1440"/>
          </w:tcPr>
          <w:p>
            <w:r>
              <w:t>0.463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0.406</w:t>
            </w:r>
          </w:p>
        </w:tc>
        <w:tc>
          <w:tcPr>
            <w:tcW w:type="dxa" w:w="1440"/>
          </w:tcPr>
          <w:p>
            <w:r>
              <w:t>0.406</w:t>
            </w:r>
          </w:p>
        </w:tc>
        <w:tc>
          <w:tcPr>
            <w:tcW w:type="dxa" w:w="1440"/>
          </w:tcPr>
          <w:p>
            <w:r>
              <w:t>0.406</w:t>
            </w:r>
          </w:p>
        </w:tc>
      </w:tr>
      <w:tr>
        <w:tc>
          <w:tcPr>
            <w:tcW w:type="dxa" w:w="1440"/>
          </w:tcPr>
          <w:p>
            <w:r>
              <w:t>model2_geom_cox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0.409</w:t>
            </w:r>
          </w:p>
        </w:tc>
        <w:tc>
          <w:tcPr>
            <w:tcW w:type="dxa" w:w="1440"/>
          </w:tcPr>
          <w:p>
            <w:r>
              <w:t>0.409</w:t>
            </w:r>
          </w:p>
        </w:tc>
        <w:tc>
          <w:tcPr>
            <w:tcW w:type="dxa" w:w="1440"/>
          </w:tcPr>
          <w:p>
            <w:r>
              <w:t>0.409</w:t>
            </w:r>
          </w:p>
        </w:tc>
      </w:tr>
      <w:tr>
        <w:tc>
          <w:tcPr>
            <w:tcW w:type="dxa" w:w="1440"/>
          </w:tcPr>
          <w:p>
            <w:r>
              <w:t>model3_full_cox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</w:tr>
      <w:tr>
        <w:tc>
          <w:tcPr>
            <w:tcW w:type="dxa" w:w="1440"/>
          </w:tcPr>
          <w:p>
            <w:r>
              <w:t>model4_tree_auto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</w:tr>
      <w:tr>
        <w:tc>
          <w:tcPr>
            <w:tcW w:type="dxa" w:w="1440"/>
          </w:tcPr>
          <w:p>
            <w:r>
              <w:t>model5_mlp_auto</w:t>
            </w:r>
          </w:p>
        </w:tc>
        <w:tc>
          <w:tcPr>
            <w:tcW w:type="dxa" w:w="1440"/>
          </w:tcPr>
          <w:p>
            <w:r>
              <w:t>0.722</w:t>
            </w:r>
          </w:p>
        </w:tc>
        <w:tc>
          <w:tcPr>
            <w:tcW w:type="dxa" w:w="1440"/>
          </w:tcPr>
          <w:p>
            <w:r>
              <w:t>0.722</w:t>
            </w:r>
          </w:p>
        </w:tc>
        <w:tc>
          <w:tcPr>
            <w:tcW w:type="dxa" w:w="1440"/>
          </w:tcPr>
          <w:p>
            <w:r>
              <w:t>0.807</w:t>
            </w:r>
          </w:p>
        </w:tc>
        <w:tc>
          <w:tcPr>
            <w:tcW w:type="dxa" w:w="1440"/>
          </w:tcPr>
          <w:p>
            <w:r>
              <w:t>0.807</w:t>
            </w:r>
          </w:p>
        </w:tc>
        <w:tc>
          <w:tcPr>
            <w:tcW w:type="dxa" w:w="1440"/>
          </w:tcPr>
          <w:p>
            <w:r>
              <w:t>0.807</w:t>
            </w:r>
          </w:p>
        </w:tc>
      </w:tr>
      <w:tr>
        <w:tc>
          <w:tcPr>
            <w:tcW w:type="dxa" w:w="1440"/>
          </w:tcPr>
          <w:p>
            <w:r>
              <w:t>model6_ensemble_auto</w:t>
            </w:r>
          </w:p>
        </w:tc>
        <w:tc>
          <w:tcPr>
            <w:tcW w:type="dxa" w:w="1440"/>
          </w:tcPr>
          <w:p>
            <w:r>
              <w:t>0.630</w:t>
            </w:r>
          </w:p>
        </w:tc>
        <w:tc>
          <w:tcPr>
            <w:tcW w:type="dxa" w:w="1440"/>
          </w:tcPr>
          <w:p>
            <w:r>
              <w:t>0.630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</w:tr>
    </w:tbl>
    <w:p/>
    <w:p>
      <w:pPr>
        <w:pStyle w:val="Heading4"/>
      </w:pPr>
      <w:r>
        <w:t>图 1　多模型 time-dependent AUC（horizon：**365 / 730 / 1095** 天；与 §4.2、§4.4 单列 `endpoint` 判别不同，见上文）</w:t>
      </w:r>
    </w:p>
    <w:p>
      <w:r>
        <w:rPr>
          <w:b/>
        </w:rPr>
        <w:t>图1 各模型 time-dependent AUC</w:t>
      </w:r>
    </w:p>
    <w:p>
      <w:r>
        <w:drawing>
          <wp:inline xmlns:a="http://schemas.openxmlformats.org/drawingml/2006/main" xmlns:pic="http://schemas.openxmlformats.org/drawingml/2006/picture">
            <wp:extent cx="5303520" cy="3805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ependent_au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58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小结</w:t>
      </w:r>
      <w:r>
        <w:t xml:space="preserve">：在上述 </w:t>
      </w:r>
      <w:r>
        <w:rPr>
          <w:b/>
        </w:rPr>
        <w:t>依赖 `time` 与 horizon 的子任务</w:t>
      </w:r>
      <w:r>
        <w:t xml:space="preserve"> 上，MLP / 融合的 time-dependent AUC 仍较高，Cox 全模型相对树/判别器偏弱——与 </w:t>
      </w:r>
      <w:r>
        <w:rPr>
          <w:b/>
        </w:rPr>
        <w:t>直接使用 `endpoint` 的全样本二类判别</w:t>
      </w:r>
      <w:r>
        <w:t xml:space="preserve">并行，可作为 </w:t>
      </w:r>
      <w:r>
        <w:rPr>
          <w:b/>
        </w:rPr>
        <w:t>预后时间结构</w:t>
      </w:r>
      <w:r>
        <w:t>的补充呈现。</w:t>
      </w:r>
    </w:p>
    <w:p/>
    <w:p>
      <w:pPr>
        <w:pStyle w:val="Heading3"/>
      </w:pPr>
      <w:r>
        <w:t>4.4　第三步：二元 endpoint 的「标准 ROC（FPR–TPR）」钉住排序叙述</w:t>
      </w:r>
    </w:p>
    <w:p>
      <w:r>
        <w:t xml:space="preserve">在完成 </w:t>
      </w:r>
      <w:r>
        <w:rPr>
          <w:b/>
        </w:rPr>
        <w:t>时间点扫描</w:t>
      </w:r>
      <w:r>
        <w:t xml:space="preserve">之后，必须把读者带回 </w:t>
      </w:r>
      <w:r>
        <w:rPr>
          <w:b/>
        </w:rPr>
        <w:t>`endpoint` 本体</w:t>
      </w:r>
      <w:r>
        <w:t xml:space="preserve">上最常见的 </w:t>
      </w:r>
      <w:r>
        <w:rPr>
          <w:b/>
        </w:rPr>
        <w:t>灵敏度–特异度平面图</w:t>
      </w:r>
      <w:r>
        <w:t xml:space="preserve">，并与 </w:t>
      </w:r>
      <w:r>
        <w:rPr>
          <w:b/>
        </w:rPr>
        <w:t>表 1</w:t>
      </w:r>
      <w:r>
        <w:t xml:space="preserve"> AUC </w:t>
      </w:r>
      <w:r>
        <w:rPr>
          <w:b/>
        </w:rPr>
        <w:t>同一标签口径</w:t>
      </w:r>
      <w:r>
        <w:t>。</w:t>
      </w:r>
      <w:r>
        <w:rPr>
          <w:b/>
        </w:rPr>
        <w:t>图 2</w:t>
      </w:r>
      <w:r>
        <w:t xml:space="preserve"> 使用外测 bundle 给出的 </w:t>
      </w:r>
      <w:r>
        <w:rPr>
          <w:b/>
        </w:rPr>
        <w:t>tree / MLP / 融合概率</w:t>
      </w:r>
      <w:r>
        <w:t xml:space="preserve"> 与 </w:t>
      </w:r>
      <w:r>
        <w:rPr>
          <w:b/>
        </w:rPr>
        <w:t>Cox 全模型的风险得分</w:t>
      </w:r>
      <w:r>
        <w:t xml:space="preserve">（风险亦为合法排序刻度）画 </w:t>
      </w:r>
      <w:r>
        <w:rPr>
          <w:b/>
        </w:rPr>
        <w:t>ROC</w:t>
      </w:r>
      <w:r>
        <w:t xml:space="preserve">。对角线为 </w:t>
      </w:r>
      <w:r>
        <w:rPr>
          <w:b/>
        </w:rPr>
        <w:t>随机参照</w:t>
      </w:r>
      <w:r>
        <w:t>。</w:t>
      </w:r>
    </w:p>
    <w:p>
      <w:pPr>
        <w:pStyle w:val="Heading4"/>
      </w:pPr>
      <w:r>
        <w:t>图 2　外测 endpoint 多曲线 ROC（`figures/roc_endpoint_multimodel_test.png`）</w:t>
      </w:r>
    </w:p>
    <w:p>
      <w:r>
        <w:rPr>
          <w:b/>
        </w:rPr>
        <w:t>图2 外测 ROC 曲线 多模型</w:t>
      </w:r>
    </w:p>
    <w:p>
      <w:r>
        <w:drawing>
          <wp:inline xmlns:a="http://schemas.openxmlformats.org/drawingml/2006/main" xmlns:pic="http://schemas.openxmlformats.org/drawingml/2006/picture">
            <wp:extent cx="5303520" cy="5435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endpoint_multimodel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352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4.5　第四步：校准与决策曲线——「概率是否可信」「是否值得一试」？</w:t>
      </w:r>
    </w:p>
    <w:p>
      <w:r>
        <w:t xml:space="preserve">若仅用 AUC，会掩盖 </w:t>
      </w:r>
      <w:r>
        <w:rPr>
          <w:b/>
        </w:rPr>
        <w:t>校准不良</w:t>
      </w:r>
      <w:r>
        <w:t xml:space="preserve">导致的 </w:t>
      </w:r>
      <w:r>
        <w:rPr>
          <w:b/>
        </w:rPr>
        <w:t>阈值解读失败</w:t>
      </w:r>
      <w:r>
        <w:t>。</w:t>
      </w:r>
      <w:r>
        <w:rPr>
          <w:b/>
        </w:rPr>
        <w:t>图 3</w:t>
      </w:r>
      <w:r>
        <w:t xml:space="preserve"> 为融合概率的 </w:t>
      </w:r>
      <w:r>
        <w:rPr>
          <w:b/>
        </w:rPr>
        <w:t>可靠性曲线与概率分布</w:t>
      </w:r>
      <w:r>
        <w:t>并排；</w:t>
      </w:r>
      <w:r>
        <w:rPr>
          <w:b/>
        </w:rPr>
        <w:t>图 4</w:t>
      </w:r>
      <w:r>
        <w:t xml:space="preserve"> 为 </w:t>
      </w:r>
      <w:r>
        <w:rPr>
          <w:b/>
        </w:rPr>
        <w:t>DCA</w:t>
      </w:r>
      <w:r>
        <w:t xml:space="preserve">，与 intervention-for-all / none 比对 </w:t>
      </w:r>
      <w:r>
        <w:rPr>
          <w:b/>
        </w:rPr>
        <w:t>净获益</w:t>
      </w:r>
      <w:r>
        <w:t>。</w:t>
      </w:r>
    </w:p>
    <w:p>
      <w:pPr>
        <w:pStyle w:val="Heading4"/>
      </w:pPr>
      <w:r>
        <w:t>图 3　融合校准诊断（校准 + 预测概率密度，`figures/`）</w:t>
      </w:r>
    </w:p>
    <w:p>
      <w:r>
        <w:rPr>
          <w:b/>
        </w:rPr>
        <w:t>图3 融合模型校准曲线与概率分布</w:t>
      </w:r>
    </w:p>
    <w:p>
      <w:r>
        <w:drawing>
          <wp:inline xmlns:a="http://schemas.openxmlformats.org/drawingml/2006/main" xmlns:pic="http://schemas.openxmlformats.org/drawingml/2006/picture">
            <wp:extent cx="5303520" cy="25545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_endpoint_ensem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45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t>图 4　决策曲线 DCA（`figures/`）</w:t>
      </w:r>
    </w:p>
    <w:p>
      <w:r>
        <w:rPr>
          <w:b/>
        </w:rPr>
        <w:t>图4 融合模型决策曲线</w:t>
      </w:r>
    </w:p>
    <w:p>
      <w:r>
        <w:drawing>
          <wp:inline xmlns:a="http://schemas.openxmlformats.org/drawingml/2006/main" xmlns:pic="http://schemas.openxmlformats.org/drawingml/2006/picture">
            <wp:extent cx="5303520" cy="3853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curve_endpoint_ensem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3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探索延伸（可选副业）</w:t>
      </w:r>
      <w:r>
        <w:t xml:space="preserve">：在 </w:t>
      </w:r>
      <w:r>
        <w:rPr>
          <w:b/>
        </w:rPr>
        <w:t>`outputs_clinical_endpoint_champion_n320_iso`</w:t>
      </w:r>
      <w:r>
        <w:t xml:space="preserve"> 若已生成带 `_isotonic` 后缀的同构图与 CSV，可作 </w:t>
      </w:r>
      <w:r>
        <w:rPr>
          <w:b/>
        </w:rPr>
        <w:t>附录图 S1/S2</w:t>
      </w:r>
      <w:r>
        <w:t xml:space="preserve">——见 </w:t>
      </w:r>
      <w:r>
        <w:rPr>
          <w:b/>
        </w:rPr>
        <w:t>§4.10</w:t>
      </w:r>
      <w:r>
        <w:t>。</w:t>
      </w:r>
      <w:r>
        <w:rPr>
          <w:b/>
        </w:rPr>
        <w:t>主文不改变图 3/4 的默认文件名。</w:t>
      </w:r>
    </w:p>
    <w:p/>
    <w:p>
      <w:pPr>
        <w:pStyle w:val="Heading3"/>
      </w:pPr>
      <w:r>
        <w:t>4.6　第五步：OOF 上选阈值，外测「复述临床操作点」——不是调参再用测试集</w:t>
      </w:r>
    </w:p>
    <w:p>
      <w:r>
        <w:t xml:space="preserve">阈值 </w:t>
      </w:r>
      <w:r>
        <w:rPr>
          <w:b/>
        </w:rPr>
        <w:t>完全来自训练折 OOF 融合概率</w:t>
      </w:r>
      <w:r>
        <w:t xml:space="preserve"> 的规则扫描；每条规则对应一个 </w:t>
      </w:r>
      <w:r>
        <w:rPr>
          <w:b/>
        </w:rPr>
        <w:t>阈值</w:t>
      </w:r>
      <w:r>
        <w:t xml:space="preserve">，在外测复述 </w:t>
      </w:r>
      <w:r>
        <w:rPr>
          <w:b/>
        </w:rPr>
        <w:t>Sens / Spec / PPV / NPV / LR / BA / F1</w:t>
      </w:r>
      <w:r>
        <w:t xml:space="preserve"> 见 </w:t>
      </w:r>
      <w:r>
        <w:rPr>
          <w:b/>
        </w:rPr>
        <w:t>表 2</w:t>
      </w:r>
      <w:r>
        <w:t xml:space="preserve">，可视化见 </w:t>
      </w:r>
      <w:r>
        <w:rPr>
          <w:b/>
        </w:rPr>
        <w:t>图 8</w:t>
      </w:r>
      <w:r>
        <w:t>。</w:t>
      </w:r>
      <w:r>
        <w:rPr>
          <w:b/>
        </w:rPr>
        <w:t>图 8</w:t>
      </w:r>
      <w:r>
        <w:t xml:space="preserve"> 为三指标柱状与 </w:t>
      </w:r>
      <w:r>
        <w:rPr>
          <w:b/>
        </w:rPr>
        <w:t>Sens–Spec</w:t>
      </w:r>
      <w:r>
        <w:t xml:space="preserve"> 散点（标记大小 / 颜色对应 BA）。</w:t>
      </w:r>
    </w:p>
    <w:p>
      <w:pPr>
        <w:pStyle w:val="Heading4"/>
      </w:pPr>
      <w:r>
        <w:t>表 2　融合模型：按 OOF 规则选阈在外测上的表现（`clinical_thresholds_test_performance.csv`；单次 AUC 与此前一致）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规则（OOF）</w:t>
            </w:r>
          </w:p>
        </w:tc>
        <w:tc>
          <w:tcPr>
            <w:tcW w:type="dxa" w:w="960"/>
          </w:tcPr>
          <w:p>
            <w:r>
              <w:t>Sens</w:t>
            </w:r>
          </w:p>
        </w:tc>
        <w:tc>
          <w:tcPr>
            <w:tcW w:type="dxa" w:w="960"/>
          </w:tcPr>
          <w:p>
            <w:r>
              <w:t>Spec</w:t>
            </w:r>
          </w:p>
        </w:tc>
        <w:tc>
          <w:tcPr>
            <w:tcW w:type="dxa" w:w="960"/>
          </w:tcPr>
          <w:p>
            <w:r>
              <w:t>PPV</w:t>
            </w:r>
          </w:p>
        </w:tc>
        <w:tc>
          <w:tcPr>
            <w:tcW w:type="dxa" w:w="960"/>
          </w:tcPr>
          <w:p>
            <w:r>
              <w:t>NPV</w:t>
            </w:r>
          </w:p>
        </w:tc>
        <w:tc>
          <w:tcPr>
            <w:tcW w:type="dxa" w:w="960"/>
          </w:tcPr>
          <w:p>
            <w:r>
              <w:t>LR+</w:t>
            </w:r>
          </w:p>
        </w:tc>
        <w:tc>
          <w:tcPr>
            <w:tcW w:type="dxa" w:w="960"/>
          </w:tcPr>
          <w:p>
            <w:r>
              <w:t>LR−</w:t>
            </w:r>
          </w:p>
        </w:tc>
        <w:tc>
          <w:tcPr>
            <w:tcW w:type="dxa" w:w="960"/>
          </w:tcPr>
          <w:p>
            <w:r>
              <w:t>BA</w:t>
            </w:r>
          </w:p>
        </w:tc>
        <w:tc>
          <w:tcPr>
            <w:tcW w:type="dxa" w:w="960"/>
          </w:tcPr>
          <w:p>
            <w:r>
              <w:t>F1</w:t>
            </w:r>
          </w:p>
        </w:tc>
      </w:tr>
      <w:tr>
        <w:tc>
          <w:tcPr>
            <w:tcW w:type="dxa" w:w="960"/>
          </w:tcPr>
          <w:p>
            <w:r>
              <w:t>`max_balanced_accuracy` (= `max_youden_j`，阈≈0.259)</w:t>
            </w:r>
          </w:p>
        </w:tc>
        <w:tc>
          <w:tcPr>
            <w:tcW w:type="dxa" w:w="960"/>
          </w:tcPr>
          <w:p>
            <w:r>
              <w:t>0.636</w:t>
            </w:r>
          </w:p>
        </w:tc>
        <w:tc>
          <w:tcPr>
            <w:tcW w:type="dxa" w:w="960"/>
          </w:tcPr>
          <w:p>
            <w:r>
              <w:t>0.714</w:t>
            </w:r>
          </w:p>
        </w:tc>
        <w:tc>
          <w:tcPr>
            <w:tcW w:type="dxa" w:w="960"/>
          </w:tcPr>
          <w:p>
            <w:r>
              <w:t>0.304</w:t>
            </w:r>
          </w:p>
        </w:tc>
        <w:tc>
          <w:tcPr>
            <w:tcW w:type="dxa" w:w="960"/>
          </w:tcPr>
          <w:p>
            <w:r>
              <w:t>0.909</w:t>
            </w:r>
          </w:p>
        </w:tc>
        <w:tc>
          <w:tcPr>
            <w:tcW w:type="dxa" w:w="960"/>
          </w:tcPr>
          <w:p>
            <w:r>
              <w:t>2.23</w:t>
            </w:r>
          </w:p>
        </w:tc>
        <w:tc>
          <w:tcPr>
            <w:tcW w:type="dxa" w:w="960"/>
          </w:tcPr>
          <w:p>
            <w:r>
              <w:t>0.51</w:t>
            </w:r>
          </w:p>
        </w:tc>
        <w:tc>
          <w:tcPr>
            <w:tcW w:type="dxa" w:w="960"/>
          </w:tcPr>
          <w:p>
            <w:r>
              <w:t>0.675</w:t>
            </w:r>
          </w:p>
        </w:tc>
        <w:tc>
          <w:tcPr>
            <w:tcW w:type="dxa" w:w="960"/>
          </w:tcPr>
          <w:p>
            <w:r>
              <w:t>0.412</w:t>
            </w:r>
          </w:p>
        </w:tc>
      </w:tr>
      <w:tr>
        <w:tc>
          <w:tcPr>
            <w:tcW w:type="dxa" w:w="960"/>
          </w:tcPr>
          <w:p>
            <w:r>
              <w:t>`conservative_high_specificity`（阈≈0.068）</w:t>
            </w:r>
          </w:p>
        </w:tc>
        <w:tc>
          <w:tcPr>
            <w:tcW w:type="dxa" w:w="960"/>
          </w:tcPr>
          <w:p>
            <w:r>
              <w:t>0.727</w:t>
            </w:r>
          </w:p>
        </w:tc>
        <w:tc>
          <w:tcPr>
            <w:tcW w:type="dxa" w:w="960"/>
          </w:tcPr>
          <w:p>
            <w:r>
              <w:t>0.625</w:t>
            </w:r>
          </w:p>
        </w:tc>
        <w:tc>
          <w:tcPr>
            <w:tcW w:type="dxa" w:w="960"/>
          </w:tcPr>
          <w:p>
            <w:r>
              <w:t>0.276</w:t>
            </w:r>
          </w:p>
        </w:tc>
        <w:tc>
          <w:tcPr>
            <w:tcW w:type="dxa" w:w="960"/>
          </w:tcPr>
          <w:p>
            <w:r>
              <w:t>0.921</w:t>
            </w:r>
          </w:p>
        </w:tc>
        <w:tc>
          <w:tcPr>
            <w:tcW w:type="dxa" w:w="960"/>
          </w:tcPr>
          <w:p>
            <w:r>
              <w:t>1.94</w:t>
            </w:r>
          </w:p>
        </w:tc>
        <w:tc>
          <w:tcPr>
            <w:tcW w:type="dxa" w:w="960"/>
          </w:tcPr>
          <w:p>
            <w:r>
              <w:t>0.44</w:t>
            </w:r>
          </w:p>
        </w:tc>
        <w:tc>
          <w:tcPr>
            <w:tcW w:type="dxa" w:w="960"/>
          </w:tcPr>
          <w:p>
            <w:r>
              <w:t>0.676</w:t>
            </w:r>
          </w:p>
        </w:tc>
        <w:tc>
          <w:tcPr>
            <w:tcW w:type="dxa" w:w="960"/>
          </w:tcPr>
          <w:p>
            <w:r>
              <w:t>0.400</w:t>
            </w:r>
          </w:p>
        </w:tc>
      </w:tr>
      <w:tr>
        <w:tc>
          <w:tcPr>
            <w:tcW w:type="dxa" w:w="960"/>
          </w:tcPr>
          <w:p>
            <w:r>
              <w:t>`aggressive_high_sensitivity`（阈≈0.130）</w:t>
            </w:r>
          </w:p>
        </w:tc>
        <w:tc>
          <w:tcPr>
            <w:tcW w:type="dxa" w:w="960"/>
          </w:tcPr>
          <w:p>
            <w:r>
              <w:t>0.727</w:t>
            </w:r>
          </w:p>
        </w:tc>
        <w:tc>
          <w:tcPr>
            <w:tcW w:type="dxa" w:w="960"/>
          </w:tcPr>
          <w:p>
            <w:r>
              <w:t>0.661</w:t>
            </w:r>
          </w:p>
        </w:tc>
        <w:tc>
          <w:tcPr>
            <w:tcW w:type="dxa" w:w="960"/>
          </w:tcPr>
          <w:p>
            <w:r>
              <w:t>0.296</w:t>
            </w:r>
          </w:p>
        </w:tc>
        <w:tc>
          <w:tcPr>
            <w:tcW w:type="dxa" w:w="960"/>
          </w:tcPr>
          <w:p>
            <w:r>
              <w:t>0.925</w:t>
            </w:r>
          </w:p>
        </w:tc>
        <w:tc>
          <w:tcPr>
            <w:tcW w:type="dxa" w:w="960"/>
          </w:tcPr>
          <w:p>
            <w:r>
              <w:t>2.14</w:t>
            </w:r>
          </w:p>
        </w:tc>
        <w:tc>
          <w:tcPr>
            <w:tcW w:type="dxa" w:w="960"/>
          </w:tcPr>
          <w:p>
            <w:r>
              <w:t>0.41</w:t>
            </w:r>
          </w:p>
        </w:tc>
        <w:tc>
          <w:tcPr>
            <w:tcW w:type="dxa" w:w="960"/>
          </w:tcPr>
          <w:p>
            <w:r>
              <w:t>0.694</w:t>
            </w:r>
          </w:p>
        </w:tc>
        <w:tc>
          <w:tcPr>
            <w:tcW w:type="dxa" w:w="960"/>
          </w:tcPr>
          <w:p>
            <w:r>
              <w:t>0.421</w:t>
            </w:r>
          </w:p>
        </w:tc>
      </w:tr>
    </w:tbl>
    <w:p/>
    <w:p>
      <w:r>
        <w:rPr>
          <w:b/>
        </w:rPr>
        <w:t>阅读提示</w:t>
      </w:r>
      <w:r>
        <w:t xml:space="preserve">：在低 PPV 与 </w:t>
      </w:r>
      <w:r>
        <w:rPr>
          <w:b/>
        </w:rPr>
        <w:t>相对较高 NPV</w:t>
      </w:r>
      <w:r>
        <w:t xml:space="preserve"> 并存时，叙事需与外测 </w:t>
      </w:r>
      <w:r>
        <w:rPr>
          <w:b/>
        </w:rPr>
        <w:t>`endpoint`=1 占比（约 16%）</w:t>
      </w:r>
      <w:r>
        <w:t xml:space="preserve"> 绑定；该比例不同于自然人群发病率，亦非对列 </w:t>
      </w:r>
      <w:r>
        <w:rPr>
          <w:b/>
        </w:rPr>
        <w:t>`endpoint`</w:t>
      </w:r>
      <w:r>
        <w:t>「按年」重新定义。</w:t>
      </w:r>
    </w:p>
    <w:p>
      <w:pPr>
        <w:pStyle w:val="Heading4"/>
      </w:pPr>
      <w:r>
        <w:t>图 8　阈值规则的柱–散点复合图（`figures_extra/`）</w:t>
      </w:r>
    </w:p>
    <w:p>
      <w:r>
        <w:rPr>
          <w:b/>
        </w:rPr>
        <w:t>图8 阈值规则组合图</w:t>
      </w:r>
    </w:p>
    <w:p>
      <w:r>
        <w:drawing>
          <wp:inline xmlns:a="http://schemas.openxmlformats.org/drawingml/2006/main" xmlns:pic="http://schemas.openxmlformats.org/drawingml/2006/picture">
            <wp:extent cx="5303520" cy="20918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r_threshold_r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18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4.7　第六步：Bootstrap 与多 seed——小测试集阳的「区间语言」与「抖动语言」交替</w:t>
      </w:r>
    </w:p>
    <w:p>
      <w:r>
        <w:t xml:space="preserve">外层测试集中 </w:t>
      </w:r>
      <w:r>
        <w:rPr>
          <w:b/>
        </w:rPr>
        <w:t>`endpoint`=1</w:t>
      </w:r>
      <w:r>
        <w:t xml:space="preserve"> </w:t>
      </w:r>
      <w:r>
        <w:rPr>
          <w:b/>
        </w:rPr>
        <w:t>仅 11 例</w:t>
      </w:r>
      <w:r>
        <w:t xml:space="preserve">：点估计宜与 </w:t>
      </w:r>
      <w:r>
        <w:rPr>
          <w:b/>
        </w:rPr>
        <w:t>Bootstrap 等非参数区间</w:t>
      </w:r>
      <w:r>
        <w:t>共读。</w:t>
      </w:r>
    </w:p>
    <w:p>
      <w:pPr>
        <w:pStyle w:val="ListBullet"/>
      </w:pPr>
      <w:r>
        <w:rPr>
          <w:b/>
        </w:rPr>
        <w:t>Bootstrap（B=400）</w:t>
      </w:r>
      <w:r>
        <w:t xml:space="preserve">：重复扰动 </w:t>
      </w:r>
      <w:r>
        <w:rPr>
          <w:b/>
        </w:rPr>
        <w:t>外测索引</w:t>
      </w:r>
      <w:r>
        <w:t xml:space="preserve"> 堆积 ROC-AUC（及主阈下 Sens/Spec/BA/F1），得 </w:t>
      </w:r>
      <w:r>
        <w:rPr>
          <w:b/>
        </w:rPr>
        <w:t>百分位区间</w:t>
      </w:r>
      <w:r>
        <w:t>（</w:t>
      </w:r>
      <w:r>
        <w:rPr>
          <w:b/>
        </w:rPr>
        <w:t>非</w:t>
      </w:r>
      <w:r>
        <w:t>严格贝叶斯后验）。</w:t>
      </w:r>
    </w:p>
    <w:p>
      <w:pPr>
        <w:pStyle w:val="ListBullet"/>
      </w:pPr>
      <w:r>
        <w:rPr>
          <w:b/>
        </w:rPr>
        <w:t>多 seed（默认 3）</w:t>
      </w:r>
      <w:r>
        <w:t>：</w:t>
      </w:r>
      <w:r>
        <w:rPr>
          <w:b/>
        </w:rPr>
        <w:t>冻结划分与融合权重</w:t>
      </w:r>
      <w:r>
        <w:t xml:space="preserve">，仅重置树与 MLP 初始化，观察 </w:t>
      </w:r>
      <w:r>
        <w:rPr>
          <w:b/>
        </w:rPr>
        <w:t>判别与阈上性能的稳定性</w:t>
      </w:r>
      <w:r>
        <w:t>。</w:t>
      </w:r>
    </w:p>
    <w:p>
      <w:pPr>
        <w:pStyle w:val="Heading4"/>
      </w:pPr>
      <w:r>
        <w:t>表 4　Bootstrap 摘要节选（`metrics_ci_summary.csv`）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均值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model6_ensemble_auto_auc_endpoint</w:t>
            </w:r>
          </w:p>
        </w:tc>
        <w:tc>
          <w:tcPr>
            <w:tcW w:type="dxa" w:w="2160"/>
          </w:tcPr>
          <w:p>
            <w:r>
              <w:t>0.787</w:t>
            </w:r>
          </w:p>
        </w:tc>
        <w:tc>
          <w:tcPr>
            <w:tcW w:type="dxa" w:w="2160"/>
          </w:tcPr>
          <w:p>
            <w:r>
              <w:t>0.604</w:t>
            </w:r>
          </w:p>
        </w:tc>
        <w:tc>
          <w:tcPr>
            <w:tcW w:type="dxa" w:w="2160"/>
          </w:tcPr>
          <w:p>
            <w:r>
              <w:t>0.932</w:t>
            </w:r>
          </w:p>
        </w:tc>
      </w:tr>
      <w:tr>
        <w:tc>
          <w:tcPr>
            <w:tcW w:type="dxa" w:w="2160"/>
          </w:tcPr>
          <w:p>
            <w:r>
              <w:t>model5_mlp_auto_auc_endpoint</w:t>
            </w:r>
          </w:p>
        </w:tc>
        <w:tc>
          <w:tcPr>
            <w:tcW w:type="dxa" w:w="2160"/>
          </w:tcPr>
          <w:p>
            <w:r>
              <w:t>0.810</w:t>
            </w:r>
          </w:p>
        </w:tc>
        <w:tc>
          <w:tcPr>
            <w:tcW w:type="dxa" w:w="2160"/>
          </w:tcPr>
          <w:p>
            <w:r>
              <w:t>0.661</w:t>
            </w:r>
          </w:p>
        </w:tc>
        <w:tc>
          <w:tcPr>
            <w:tcW w:type="dxa" w:w="2160"/>
          </w:tcPr>
          <w:p>
            <w:r>
              <w:t>0.932</w:t>
            </w:r>
          </w:p>
        </w:tc>
      </w:tr>
      <w:tr>
        <w:tc>
          <w:tcPr>
            <w:tcW w:type="dxa" w:w="2160"/>
          </w:tcPr>
          <w:p>
            <w:r>
              <w:t>model4_tree_auto_auc_endpoint</w:t>
            </w:r>
          </w:p>
        </w:tc>
        <w:tc>
          <w:tcPr>
            <w:tcW w:type="dxa" w:w="2160"/>
          </w:tcPr>
          <w:p>
            <w:r>
              <w:t>0.699</w:t>
            </w:r>
          </w:p>
        </w:tc>
        <w:tc>
          <w:tcPr>
            <w:tcW w:type="dxa" w:w="2160"/>
          </w:tcPr>
          <w:p>
            <w:r>
              <w:t>0.485</w:t>
            </w:r>
          </w:p>
        </w:tc>
        <w:tc>
          <w:tcPr>
            <w:tcW w:type="dxa" w:w="2160"/>
          </w:tcPr>
          <w:p>
            <w:r>
              <w:t>0.901</w:t>
            </w:r>
          </w:p>
        </w:tc>
      </w:tr>
      <w:tr>
        <w:tc>
          <w:tcPr>
            <w:tcW w:type="dxa" w:w="2160"/>
          </w:tcPr>
          <w:p>
            <w:r>
              <w:t>model6_ensemble_balanced_accuracy_thr_oob</w:t>
            </w:r>
          </w:p>
        </w:tc>
        <w:tc>
          <w:tcPr>
            <w:tcW w:type="dxa" w:w="2160"/>
          </w:tcPr>
          <w:p>
            <w:r>
              <w:t>0.681</w:t>
            </w:r>
          </w:p>
        </w:tc>
        <w:tc>
          <w:tcPr>
            <w:tcW w:type="dxa" w:w="2160"/>
          </w:tcPr>
          <w:p>
            <w:r>
              <w:t>0.520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</w:tr>
      <w:tr>
        <w:tc>
          <w:tcPr>
            <w:tcW w:type="dxa" w:w="2160"/>
          </w:tcPr>
          <w:p>
            <w:r>
              <w:t>model6_ensemble_f1_thr_oob</w:t>
            </w:r>
          </w:p>
        </w:tc>
        <w:tc>
          <w:tcPr>
            <w:tcW w:type="dxa" w:w="2160"/>
          </w:tcPr>
          <w:p>
            <w:r>
              <w:t>0.410</w:t>
            </w:r>
          </w:p>
        </w:tc>
        <w:tc>
          <w:tcPr>
            <w:tcW w:type="dxa" w:w="2160"/>
          </w:tcPr>
          <w:p>
            <w:r>
              <w:t>0.207</w:t>
            </w:r>
          </w:p>
        </w:tc>
        <w:tc>
          <w:tcPr>
            <w:tcW w:type="dxa" w:w="2160"/>
          </w:tcPr>
          <w:p>
            <w:r>
              <w:t>0.611</w:t>
            </w:r>
          </w:p>
        </w:tc>
      </w:tr>
      <w:tr>
        <w:tc>
          <w:tcPr>
            <w:tcW w:type="dxa" w:w="2160"/>
          </w:tcPr>
          <w:p>
            <w:r>
              <w:t>model6_ensemble_sensitivity_thr_oob</w:t>
            </w:r>
          </w:p>
        </w:tc>
        <w:tc>
          <w:tcPr>
            <w:tcW w:type="dxa" w:w="2160"/>
          </w:tcPr>
          <w:p>
            <w:r>
              <w:t>0.648</w:t>
            </w:r>
          </w:p>
        </w:tc>
        <w:tc>
          <w:tcPr>
            <w:tcW w:type="dxa" w:w="2160"/>
          </w:tcPr>
          <w:p>
            <w:r>
              <w:t>0.333</w:t>
            </w:r>
          </w:p>
        </w:tc>
        <w:tc>
          <w:tcPr>
            <w:tcW w:type="dxa" w:w="2160"/>
          </w:tcPr>
          <w:p>
            <w:r>
              <w:t>0.925</w:t>
            </w:r>
          </w:p>
        </w:tc>
      </w:tr>
      <w:tr>
        <w:tc>
          <w:tcPr>
            <w:tcW w:type="dxa" w:w="2160"/>
          </w:tcPr>
          <w:p>
            <w:r>
              <w:t>model6_ensemble_specificity_thr_oob</w:t>
            </w:r>
          </w:p>
        </w:tc>
        <w:tc>
          <w:tcPr>
            <w:tcW w:type="dxa" w:w="2160"/>
          </w:tcPr>
          <w:p>
            <w:r>
              <w:t>0.715</w:t>
            </w:r>
          </w:p>
        </w:tc>
        <w:tc>
          <w:tcPr>
            <w:tcW w:type="dxa" w:w="2160"/>
          </w:tcPr>
          <w:p>
            <w:r>
              <w:t>0.597</w:t>
            </w:r>
          </w:p>
        </w:tc>
        <w:tc>
          <w:tcPr>
            <w:tcW w:type="dxa" w:w="2160"/>
          </w:tcPr>
          <w:p>
            <w:r>
              <w:t>0.825</w:t>
            </w:r>
          </w:p>
        </w:tc>
      </w:tr>
    </w:tbl>
    <w:p/>
    <w:p>
      <w:pPr>
        <w:pStyle w:val="Heading4"/>
      </w:pPr>
      <w:r>
        <w:t>图 9　Bootstrap 区间「森林摘要」可视化（融合，`figures_extra/`）</w:t>
      </w:r>
    </w:p>
    <w:p>
      <w:r>
        <w:rPr>
          <w:b/>
        </w:rPr>
        <w:t>图9 Bootstrap 区间森林图</w:t>
      </w:r>
    </w:p>
    <w:p>
      <w:r>
        <w:drawing>
          <wp:inline xmlns:a="http://schemas.openxmlformats.org/drawingml/2006/main" xmlns:pic="http://schemas.openxmlformats.org/drawingml/2006/picture">
            <wp:extent cx="5303520" cy="26888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est_bootstrap_ci_model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8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t>图 10　融合 endpoint AUC 的 Bootstrap：**直方图 + KDE + 正态 Q–Q**（`figures_extra/`）</w:t>
      </w:r>
    </w:p>
    <w:p>
      <w:r>
        <w:rPr>
          <w:b/>
        </w:rPr>
        <w:t>图10 Bootstrap AUC 分布与 Q-Q</w:t>
      </w:r>
    </w:p>
    <w:p>
      <w:r>
        <w:drawing>
          <wp:inline xmlns:a="http://schemas.openxmlformats.org/drawingml/2006/main" xmlns:pic="http://schemas.openxmlformats.org/drawingml/2006/picture">
            <wp:extent cx="5303520" cy="2370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ist_bootstrap_ensemble_auc_endpo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00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t>表 5　多 seed 概要（固定 OOF 主阈，`seed_repeat_summary.csv`）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均值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model6_ensemble_auc_endpoint</w:t>
            </w:r>
          </w:p>
        </w:tc>
        <w:tc>
          <w:tcPr>
            <w:tcW w:type="dxa" w:w="2160"/>
          </w:tcPr>
          <w:p>
            <w:r>
              <w:t>0.797</w:t>
            </w:r>
          </w:p>
        </w:tc>
        <w:tc>
          <w:tcPr>
            <w:tcW w:type="dxa" w:w="2160"/>
          </w:tcPr>
          <w:p>
            <w:r>
              <w:t>0.794</w:t>
            </w:r>
          </w:p>
        </w:tc>
        <w:tc>
          <w:tcPr>
            <w:tcW w:type="dxa" w:w="2160"/>
          </w:tcPr>
          <w:p>
            <w:r>
              <w:t>0.799</w:t>
            </w:r>
          </w:p>
        </w:tc>
      </w:tr>
      <w:tr>
        <w:tc>
          <w:tcPr>
            <w:tcW w:type="dxa" w:w="2160"/>
          </w:tcPr>
          <w:p>
            <w:r>
              <w:t>model6_ba_thr_oob</w:t>
            </w:r>
          </w:p>
        </w:tc>
        <w:tc>
          <w:tcPr>
            <w:tcW w:type="dxa" w:w="2160"/>
          </w:tcPr>
          <w:p>
            <w:r>
              <w:t>0.678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0.692</w:t>
            </w:r>
          </w:p>
        </w:tc>
      </w:tr>
      <w:tr>
        <w:tc>
          <w:tcPr>
            <w:tcW w:type="dxa" w:w="2160"/>
          </w:tcPr>
          <w:p>
            <w:r>
              <w:t>model6_f1_thr_oob</w:t>
            </w:r>
          </w:p>
        </w:tc>
        <w:tc>
          <w:tcPr>
            <w:tcW w:type="dxa" w:w="2160"/>
          </w:tcPr>
          <w:p>
            <w:r>
              <w:t>0.416</w:t>
            </w:r>
          </w:p>
        </w:tc>
        <w:tc>
          <w:tcPr>
            <w:tcW w:type="dxa" w:w="2160"/>
          </w:tcPr>
          <w:p>
            <w:r>
              <w:t>0.401</w:t>
            </w:r>
          </w:p>
        </w:tc>
        <w:tc>
          <w:tcPr>
            <w:tcW w:type="dxa" w:w="2160"/>
          </w:tcPr>
          <w:p>
            <w:r>
              <w:t>0.436</w:t>
            </w:r>
          </w:p>
        </w:tc>
      </w:tr>
      <w:tr>
        <w:tc>
          <w:tcPr>
            <w:tcW w:type="dxa" w:w="2160"/>
          </w:tcPr>
          <w:p>
            <w:r>
              <w:t>model6_spec_thr_oob</w:t>
            </w:r>
          </w:p>
        </w:tc>
        <w:tc>
          <w:tcPr>
            <w:tcW w:type="dxa" w:w="2160"/>
          </w:tcPr>
          <w:p>
            <w:r>
              <w:t>0.720</w:t>
            </w:r>
          </w:p>
        </w:tc>
        <w:tc>
          <w:tcPr>
            <w:tcW w:type="dxa" w:w="2160"/>
          </w:tcPr>
          <w:p>
            <w:r>
              <w:t>0.697</w:t>
            </w:r>
          </w:p>
        </w:tc>
        <w:tc>
          <w:tcPr>
            <w:tcW w:type="dxa" w:w="2160"/>
          </w:tcPr>
          <w:p>
            <w:r>
              <w:t>0.748</w:t>
            </w:r>
          </w:p>
        </w:tc>
      </w:tr>
    </w:tbl>
    <w:p/>
    <w:p>
      <w:r>
        <w:rPr>
          <w:b/>
        </w:rPr>
        <w:t>前进小结</w:t>
      </w:r>
      <w:r>
        <w:t xml:space="preserve">：Bootstrap 提醒我们 </w:t>
      </w:r>
      <w:r>
        <w:rPr>
          <w:b/>
        </w:rPr>
        <w:t>单次 AUC 的区间仍可很宽</w:t>
      </w:r>
      <w:r>
        <w:t xml:space="preserve">，而 multi-seed </w:t>
      </w:r>
      <w:r>
        <w:rPr>
          <w:b/>
        </w:rPr>
        <w:t>在固定权重下的 AUC 抖动相对小</w:t>
      </w:r>
      <w:r>
        <w:t>——两类不确定性回答不同问题。</w:t>
      </w:r>
    </w:p>
    <w:p/>
    <w:p>
      <w:pPr>
        <w:pStyle w:val="Heading3"/>
      </w:pPr>
      <w:r>
        <w:t>4.8　第七步（解释性）：节段空间图景与「Cox 稳定进入 top5」的一致性</w:t>
      </w:r>
    </w:p>
    <w:p>
      <w:r>
        <w:t xml:space="preserve">在进入 </w:t>
      </w:r>
      <w:r>
        <w:rPr>
          <w:b/>
        </w:rPr>
        <w:t>`endpoint`=1 稀疏入组敏感性</w:t>
      </w:r>
      <w:r>
        <w:t xml:space="preserve">的讨论之前，先在 </w:t>
      </w:r>
      <w:r>
        <w:rPr>
          <w:b/>
        </w:rPr>
        <w:t>建模全队列空间</w:t>
      </w:r>
      <w:r>
        <w:t xml:space="preserve">检视 </w:t>
      </w:r>
      <w:r>
        <w:rPr>
          <w:b/>
        </w:rPr>
        <w:t>事件减非事件的节段振幅平均差</w:t>
      </w:r>
      <w:r>
        <w:t xml:space="preserve">，并在 </w:t>
      </w:r>
      <w:r>
        <w:rPr>
          <w:b/>
        </w:rPr>
        <w:t>训练 Bootstrap 重复拟合 Cox-full</w:t>
      </w:r>
      <w:r>
        <w:t xml:space="preserve">时统计 </w:t>
      </w:r>
      <w:r>
        <w:rPr>
          <w:b/>
        </w:rPr>
        <w:t>|coef|进入 top5节段</w:t>
      </w:r>
      <w:r>
        <w:t xml:space="preserve"> 的频率。</w:t>
      </w:r>
      <w:r>
        <w:rPr>
          <w:b/>
        </w:rPr>
        <w:t>图 5/6</w:t>
      </w:r>
      <w:r>
        <w:t xml:space="preserve"> 为 AHA17 </w:t>
      </w:r>
      <w:r>
        <w:rPr>
          <w:b/>
        </w:rPr>
        <w:t>映射</w:t>
      </w:r>
      <w:r>
        <w:t>，</w:t>
      </w:r>
      <w:r>
        <w:rPr>
          <w:b/>
        </w:rPr>
        <w:t>表 6</w:t>
      </w:r>
      <w:r>
        <w:t xml:space="preserve"> 与 </w:t>
      </w:r>
      <w:r>
        <w:rPr>
          <w:b/>
        </w:rPr>
        <w:t>图 11（条形轨迹线）</w:t>
      </w:r>
      <w:r>
        <w:t xml:space="preserve"> 给出 </w:t>
      </w:r>
      <w:r>
        <w:rPr>
          <w:b/>
        </w:rPr>
        <w:t>可读排序</w:t>
      </w:r>
      <w:r>
        <w:t xml:space="preserve">。这与 </w:t>
      </w:r>
      <w:r>
        <w:rPr>
          <w:b/>
        </w:rPr>
        <w:t>判别器</w:t>
      </w:r>
      <w:r>
        <w:t>是分视角证据：解释性≠独立泛化验证。</w:t>
      </w:r>
    </w:p>
    <w:p>
      <w:pPr>
        <w:pStyle w:val="Heading4"/>
      </w:pPr>
      <w:r>
        <w:t>图 5　事件减非事件的节段均值差（matplotlib `RdBu_r` 色谱，`figures/`）</w:t>
      </w:r>
    </w:p>
    <w:p>
      <w:r>
        <w:rPr>
          <w:b/>
        </w:rPr>
        <w:t>图5 牛眼图 事件减去非事件</w:t>
      </w:r>
    </w:p>
    <w:p>
      <w:r>
        <w:drawing>
          <wp:inline xmlns:a="http://schemas.openxmlformats.org/drawingml/2006/main" xmlns:pic="http://schemas.openxmlformats.org/drawingml/2006/picture">
            <wp:extent cx="5303520" cy="40687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lseye_standard_di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8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t>图 6　Cox-full Bootstrap 稳定性映射（`|coef|` top-5 频率，`figures/`）</w:t>
      </w:r>
    </w:p>
    <w:p>
      <w:r>
        <w:rPr>
          <w:b/>
        </w:rPr>
        <w:t>图6 节段 Cox top5 稳定性</w:t>
      </w:r>
    </w:p>
    <w:p>
      <w:r>
        <w:drawing>
          <wp:inline xmlns:a="http://schemas.openxmlformats.org/drawingml/2006/main" xmlns:pic="http://schemas.openxmlformats.org/drawingml/2006/picture">
            <wp:extent cx="5303520" cy="43882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lseye_top5_st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t>表 6　节段进入 Cox-full（全协变量 Cox）模型 top5 的频率（节选，`segment_stability.csv`；≤200 次 bootstrap）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节段</w:t>
            </w:r>
          </w:p>
        </w:tc>
        <w:tc>
          <w:tcPr>
            <w:tcW w:type="dxa" w:w="2880"/>
          </w:tcPr>
          <w:p>
            <w:r>
              <w:t>进入 top5 次数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</w:tr>
      <w:tr>
        <w:tc>
          <w:tcPr>
            <w:tcW w:type="dxa" w:w="2880"/>
          </w:tcPr>
          <w:p>
            <w:r>
              <w:t>seg14_amp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59%</w:t>
            </w:r>
          </w:p>
        </w:tc>
      </w:tr>
      <w:tr>
        <w:tc>
          <w:tcPr>
            <w:tcW w:type="dxa" w:w="2880"/>
          </w:tcPr>
          <w:p>
            <w:r>
              <w:t>seg06_amp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57%</w:t>
            </w:r>
          </w:p>
        </w:tc>
      </w:tr>
      <w:tr>
        <w:tc>
          <w:tcPr>
            <w:tcW w:type="dxa" w:w="2880"/>
          </w:tcPr>
          <w:p>
            <w:r>
              <w:t>seg16_amp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46.5%</w:t>
            </w:r>
          </w:p>
        </w:tc>
      </w:tr>
      <w:tr>
        <w:tc>
          <w:tcPr>
            <w:tcW w:type="dxa" w:w="2880"/>
          </w:tcPr>
          <w:p>
            <w:r>
              <w:t>seg10_amp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38%</w:t>
            </w:r>
          </w:p>
        </w:tc>
      </w:tr>
      <w:tr>
        <w:tc>
          <w:tcPr>
            <w:tcW w:type="dxa" w:w="2880"/>
          </w:tcPr>
          <w:p>
            <w:r>
              <w:t>seg11_amp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34.5%</w:t>
            </w:r>
          </w:p>
        </w:tc>
      </w:tr>
    </w:tbl>
    <w:p/>
    <w:p>
      <w:pPr>
        <w:pStyle w:val="Heading4"/>
      </w:pPr>
      <w:r>
        <w:t>图 11　上位节段频率「条 + 轨迹线」组合（`figures_extra/`）</w:t>
      </w:r>
    </w:p>
    <w:p>
      <w:r>
        <w:rPr>
          <w:b/>
        </w:rPr>
        <w:t>图11 节段 Cox top5 频率组合图</w:t>
      </w:r>
    </w:p>
    <w:p>
      <w:r>
        <w:drawing>
          <wp:inline xmlns:a="http://schemas.openxmlformats.org/drawingml/2006/main" xmlns:pic="http://schemas.openxmlformats.org/drawingml/2006/picture">
            <wp:extent cx="5303520" cy="32807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r_segment_stability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07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4.9　第八步（外线探索）：入组设计改变任务难度——主分析 vs full-cohort</w:t>
      </w:r>
    </w:p>
    <w:p>
      <w:r>
        <w:rPr>
          <w:b/>
        </w:rPr>
        <w:t>与早期同标签跑法对比</w:t>
      </w:r>
      <w:r>
        <w:t>（`outputs_deep_full_gpu_clinical_endpoint` vs 冠军 E2）：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AUC</w:t>
            </w:r>
          </w:p>
        </w:tc>
        <w:tc>
          <w:tcPr>
            <w:tcW w:type="dxa" w:w="1728"/>
          </w:tcPr>
          <w:p>
            <w:r>
              <w:t>BA@0.5</w:t>
            </w:r>
          </w:p>
        </w:tc>
        <w:tc>
          <w:tcPr>
            <w:tcW w:type="dxa" w:w="1728"/>
          </w:tcPr>
          <w:p>
            <w:r>
              <w:t>F1@0.5</w:t>
            </w:r>
          </w:p>
        </w:tc>
        <w:tc>
          <w:tcPr>
            <w:tcW w:type="dxa" w:w="1728"/>
          </w:tcPr>
          <w:p>
            <w:r>
              <w:t>择优综合</w:t>
            </w:r>
          </w:p>
        </w:tc>
      </w:tr>
      <w:tr>
        <w:tc>
          <w:tcPr>
            <w:tcW w:type="dxa" w:w="1728"/>
          </w:tcPr>
          <w:p>
            <w:r>
              <w:t>早期 clinical_endpoint 融合</w:t>
            </w:r>
          </w:p>
        </w:tc>
        <w:tc>
          <w:tcPr>
            <w:tcW w:type="dxa" w:w="1728"/>
          </w:tcPr>
          <w:p>
            <w:r>
              <w:t>0.789</w:t>
            </w:r>
          </w:p>
        </w:tc>
        <w:tc>
          <w:tcPr>
            <w:tcW w:type="dxa" w:w="1728"/>
          </w:tcPr>
          <w:p>
            <w:r>
              <w:t>0.656</w:t>
            </w:r>
          </w:p>
        </w:tc>
        <w:tc>
          <w:tcPr>
            <w:tcW w:type="dxa" w:w="1728"/>
          </w:tcPr>
          <w:p>
            <w:r>
              <w:t>0.417</w:t>
            </w:r>
          </w:p>
        </w:tc>
        <w:tc>
          <w:tcPr>
            <w:tcW w:type="dxa" w:w="1728"/>
          </w:tcPr>
          <w:p>
            <w:r>
              <w:t>≈0.637</w:t>
            </w:r>
          </w:p>
        </w:tc>
      </w:tr>
      <w:tr>
        <w:tc>
          <w:tcPr>
            <w:tcW w:type="dxa" w:w="1728"/>
          </w:tcPr>
          <w:p>
            <w:r>
              <w:t>冠军 n320_bs400 融合</w:t>
            </w:r>
          </w:p>
        </w:tc>
        <w:tc>
          <w:tcPr>
            <w:tcW w:type="dxa" w:w="1728"/>
          </w:tcPr>
          <w:p>
            <w:r>
              <w:t>0.786</w:t>
            </w:r>
          </w:p>
        </w:tc>
        <w:tc>
          <w:tcPr>
            <w:tcW w:type="dxa" w:w="1728"/>
          </w:tcPr>
          <w:p>
            <w:r>
              <w:t>0.701</w:t>
            </w:r>
          </w:p>
        </w:tc>
        <w:tc>
          <w:tcPr>
            <w:tcW w:type="dxa" w:w="1728"/>
          </w:tcPr>
          <w:p>
            <w:r>
              <w:t>0.480</w:t>
            </w:r>
          </w:p>
        </w:tc>
        <w:tc>
          <w:tcPr>
            <w:tcW w:type="dxa" w:w="1728"/>
          </w:tcPr>
          <w:p>
            <w:r>
              <w:t>≈0.669</w:t>
            </w:r>
          </w:p>
        </w:tc>
      </w:tr>
    </w:tbl>
    <w:p/>
    <w:p>
      <w:r>
        <w:rPr>
          <w:b/>
        </w:rPr>
        <w:t>full-cohort 敏感性（`outputs_clinical_endpoint_full_bs400`）</w:t>
      </w:r>
      <w:r>
        <w:t xml:space="preserve">：训练 </w:t>
      </w:r>
      <w:r>
        <w:rPr>
          <w:b/>
        </w:rPr>
        <w:t>578</w:t>
      </w:r>
      <w:r>
        <w:t xml:space="preserve">（其中 </w:t>
      </w:r>
      <w:r>
        <w:rPr>
          <w:b/>
        </w:rPr>
        <w:t>`endpoint`=1</w:t>
      </w:r>
      <w:r>
        <w:t xml:space="preserve"> ≈ </w:t>
      </w:r>
      <w:r>
        <w:rPr>
          <w:b/>
        </w:rPr>
        <w:t>7.4%</w:t>
      </w:r>
      <w:r>
        <w:t xml:space="preserve">），测试 </w:t>
      </w:r>
      <w:r>
        <w:rPr>
          <w:b/>
        </w:rPr>
        <w:t>193</w:t>
      </w:r>
      <w:r>
        <w:t xml:space="preserve">（≈ </w:t>
      </w:r>
      <w:r>
        <w:rPr>
          <w:b/>
        </w:rPr>
        <w:t>7.8%</w:t>
      </w:r>
      <w: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模型（融合）</w:t>
            </w:r>
          </w:p>
        </w:tc>
        <w:tc>
          <w:tcPr>
            <w:tcW w:type="dxa" w:w="1728"/>
          </w:tcPr>
          <w:p>
            <w:r>
              <w:t>AUC</w:t>
            </w:r>
          </w:p>
        </w:tc>
        <w:tc>
          <w:tcPr>
            <w:tcW w:type="dxa" w:w="1728"/>
          </w:tcPr>
          <w:p>
            <w:r>
              <w:t>BA@0.5</w:t>
            </w:r>
          </w:p>
        </w:tc>
        <w:tc>
          <w:tcPr>
            <w:tcW w:type="dxa" w:w="1728"/>
          </w:tcPr>
          <w:p>
            <w:r>
              <w:t>F1@0.5</w:t>
            </w:r>
          </w:p>
        </w:tc>
        <w:tc>
          <w:tcPr>
            <w:tcW w:type="dxa" w:w="1728"/>
          </w:tcPr>
          <w:p>
            <w:r>
              <w:t>择优综合</w:t>
            </w:r>
          </w:p>
        </w:tc>
      </w:tr>
      <w:tr>
        <w:tc>
          <w:tcPr>
            <w:tcW w:type="dxa" w:w="1728"/>
          </w:tcPr>
          <w:p>
            <w:r>
              <w:t>`model6_ensemble_endpoint`（全队列）</w:t>
            </w:r>
          </w:p>
        </w:tc>
        <w:tc>
          <w:tcPr>
            <w:tcW w:type="dxa" w:w="1728"/>
          </w:tcPr>
          <w:p>
            <w:r>
              <w:t>0.579</w:t>
            </w:r>
          </w:p>
        </w:tc>
        <w:tc>
          <w:tcPr>
            <w:tcW w:type="dxa" w:w="1728"/>
          </w:tcPr>
          <w:p>
            <w:r>
              <w:t>0.577</w:t>
            </w:r>
          </w:p>
        </w:tc>
        <w:tc>
          <w:tcPr>
            <w:tcW w:type="dxa" w:w="1728"/>
          </w:tcPr>
          <w:p>
            <w:r>
              <w:t>0.192</w:t>
            </w:r>
          </w:p>
        </w:tc>
        <w:tc>
          <w:tcPr>
            <w:tcW w:type="dxa" w:w="1728"/>
          </w:tcPr>
          <w:p>
            <w:r>
              <w:t>≈0.462</w:t>
            </w:r>
          </w:p>
        </w:tc>
      </w:tr>
    </w:tbl>
    <w:p/>
    <w:p>
      <w:r>
        <w:rPr>
          <w:b/>
        </w:rPr>
        <w:t>图 12</w:t>
      </w:r>
      <w:r>
        <w:t xml:space="preserve"> 在主分析入组与 </w:t>
      </w:r>
      <w:r>
        <w:rPr>
          <w:b/>
        </w:rPr>
        <w:t>full-cohort</w:t>
      </w:r>
      <w:r>
        <w:t xml:space="preserve"> 之间并排 </w:t>
      </w:r>
      <w:r>
        <w:rPr>
          <w:b/>
        </w:rPr>
        <w:t>`endpoint`</w:t>
      </w:r>
      <w:r>
        <w:t xml:space="preserve"> 判别指标并作差分。</w:t>
      </w:r>
      <w:r>
        <w:rPr>
          <w:b/>
        </w:rPr>
        <w:t>写法建议</w:t>
      </w:r>
      <w:r>
        <w:t xml:space="preserve">：在未说明 </w:t>
      </w:r>
      <w:r>
        <w:rPr>
          <w:b/>
        </w:rPr>
        <w:t>抽样 / 事件占比 / 配额</w:t>
      </w:r>
      <w:r>
        <w:t>的前提下，不宜将两套入组对应的数字归结为单一的「优劣」论断。</w:t>
      </w:r>
    </w:p>
    <w:p>
      <w:pPr>
        <w:pStyle w:val="Heading4"/>
      </w:pPr>
      <w:r>
        <w:t>图 12　入组策略敏感性：并排柱 + 指标差分（`figures_extra/`）</w:t>
      </w:r>
    </w:p>
    <w:p>
      <w:r>
        <w:rPr>
          <w:b/>
        </w:rPr>
        <w:t>图12 两队列融合模型指标对比</w:t>
      </w:r>
    </w:p>
    <w:p>
      <w:r>
        <w:drawing>
          <wp:inline xmlns:a="http://schemas.openxmlformats.org/drawingml/2006/main" xmlns:pic="http://schemas.openxmlformats.org/drawingml/2006/picture">
            <wp:extent cx="5303520" cy="49858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two_cohorts_ensem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85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4.10　第九步（可选支线）：同一入组下的 isotonic 与 NRI / IDI 探索</w:t>
      </w:r>
    </w:p>
    <w:p>
      <w:r>
        <w:t xml:space="preserve">若以 </w:t>
      </w:r>
      <w:r>
        <w:rPr>
          <w:b/>
        </w:rPr>
        <w:t>校准与决策曲线可读性</w:t>
      </w:r>
      <w:r>
        <w:t xml:space="preserve">为重，副业 </w:t>
      </w:r>
      <w:r>
        <w:rPr>
          <w:b/>
        </w:rPr>
        <w:t>isotonic</w:t>
      </w:r>
      <w:r>
        <w:t xml:space="preserve"> 可与 </w:t>
      </w:r>
      <w:r>
        <w:rPr>
          <w:b/>
        </w:rPr>
        <w:t>§4.5（图 3–4）</w:t>
      </w:r>
      <w:r>
        <w:t xml:space="preserve"> 对照刊出；若以 </w:t>
      </w:r>
      <w:r>
        <w:rPr>
          <w:b/>
        </w:rPr>
        <w:t>与原融合概率标尺一致</w:t>
      </w:r>
      <w:r>
        <w:t xml:space="preserve">为原则，仍以 </w:t>
      </w:r>
      <w:r>
        <w:rPr>
          <w:b/>
        </w:rPr>
        <w:t>§4.5</w:t>
      </w:r>
      <w:r>
        <w:t xml:space="preserve"> 主图为准。</w:t>
      </w:r>
    </w:p>
    <w:p>
      <w:pPr>
        <w:pStyle w:val="Heading4"/>
      </w:pPr>
      <w:r>
        <w:t>表 7　NRI / IDI（单次外测，`nri_idi_fixed_test.csv`，参照 model1_base_cox）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NRI vs base</w:t>
            </w:r>
          </w:p>
        </w:tc>
        <w:tc>
          <w:tcPr>
            <w:tcW w:type="dxa" w:w="2880"/>
          </w:tcPr>
          <w:p>
            <w:r>
              <w:t>IDI vs base</w:t>
            </w:r>
          </w:p>
        </w:tc>
      </w:tr>
      <w:tr>
        <w:tc>
          <w:tcPr>
            <w:tcW w:type="dxa" w:w="2880"/>
          </w:tcPr>
          <w:p>
            <w:r>
              <w:t>model2_geom_cox</w:t>
            </w:r>
          </w:p>
        </w:tc>
        <w:tc>
          <w:tcPr>
            <w:tcW w:type="dxa" w:w="2880"/>
          </w:tcPr>
          <w:p>
            <w:r>
              <w:t>−0.273</w:t>
            </w:r>
          </w:p>
        </w:tc>
        <w:tc>
          <w:tcPr>
            <w:tcW w:type="dxa" w:w="2880"/>
          </w:tcPr>
          <w:p>
            <w:r>
              <w:t>−0.458</w:t>
            </w:r>
          </w:p>
        </w:tc>
      </w:tr>
      <w:tr>
        <w:tc>
          <w:tcPr>
            <w:tcW w:type="dxa" w:w="2880"/>
          </w:tcPr>
          <w:p>
            <w:r>
              <w:t>model3_full_cox</w:t>
            </w:r>
          </w:p>
        </w:tc>
        <w:tc>
          <w:tcPr>
            <w:tcW w:type="dxa" w:w="2880"/>
          </w:tcPr>
          <w:p>
            <w:r>
              <w:t>+0.019</w:t>
            </w:r>
          </w:p>
        </w:tc>
        <w:tc>
          <w:tcPr>
            <w:tcW w:type="dxa" w:w="2880"/>
          </w:tcPr>
          <w:p>
            <w:r>
              <w:t>−87.33</w:t>
            </w:r>
          </w:p>
        </w:tc>
      </w:tr>
      <w:tr>
        <w:tc>
          <w:tcPr>
            <w:tcW w:type="dxa" w:w="2880"/>
          </w:tcPr>
          <w:p>
            <w:r>
              <w:t>model4_tree_auto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+0.203</w:t>
            </w:r>
          </w:p>
        </w:tc>
      </w:tr>
      <w:tr>
        <w:tc>
          <w:tcPr>
            <w:tcW w:type="dxa" w:w="2880"/>
          </w:tcPr>
          <w:p>
            <w:r>
              <w:t>model5_mlp_auto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+0.361</w:t>
            </w:r>
          </w:p>
        </w:tc>
      </w:tr>
      <w:tr>
        <w:tc>
          <w:tcPr>
            <w:tcW w:type="dxa" w:w="2880"/>
          </w:tcPr>
          <w:p>
            <w:r>
              <w:t>model6_ensemble_auto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+0.290</w:t>
            </w:r>
          </w:p>
        </w:tc>
      </w:tr>
    </w:tbl>
    <w:p/>
    <w:p>
      <w:r>
        <w:rPr>
          <w:b/>
        </w:rPr>
        <w:t>方法学警钟</w:t>
      </w:r>
      <w:r>
        <w:t xml:space="preserve">：标尺混用可使 </w:t>
      </w:r>
      <w:r>
        <w:rPr>
          <w:b/>
        </w:rPr>
        <w:t>IDI 极端</w:t>
      </w:r>
      <w:r>
        <w:t xml:space="preserve">（见 NRI / IDI 相关讨论[15][16]）；表中 </w:t>
      </w:r>
      <w:r>
        <w:rPr>
          <w:b/>
        </w:rPr>
        <w:t>full_cox IDI</w:t>
      </w:r>
      <w:r>
        <w:t xml:space="preserve"> 不宜作主定量结论。</w:t>
      </w:r>
    </w:p>
    <w:p/>
    <w:p>
      <w:pPr>
        <w:pStyle w:val="Heading3"/>
      </w:pPr>
      <w:r>
        <w:t>4.11　语义边界：`outputs_deep_full_gpu_sprint3` **auc_1095d** 仅能作史学脚注</w:t>
      </w:r>
    </w:p>
    <w:p>
      <w:r>
        <w:t xml:space="preserve">`sprint3` 等指标 </w:t>
      </w:r>
      <w:r>
        <w:rPr>
          <w:b/>
        </w:rPr>
        <w:t>auc_1095d</w:t>
      </w:r>
      <w:r>
        <w:t xml:space="preserve">（如文献中常汇报的 </w:t>
      </w:r>
      <w:r>
        <w:rPr>
          <w:b/>
        </w:rPr>
        <w:t>`metrics_fixed_test.csv`</w:t>
      </w:r>
      <w:r>
        <w:t xml:space="preserve"> </w:t>
      </w:r>
      <w:r>
        <w:rPr>
          <w:b/>
        </w:rPr>
        <w:t>AUC@1095d</w:t>
      </w:r>
      <w:r>
        <w:t xml:space="preserve">）依附于 </w:t>
      </w:r>
      <w:r>
        <w:rPr>
          <w:b/>
        </w:rPr>
        <w:t>前述 horizon 判别构造</w:t>
      </w:r>
      <w:r>
        <w:t xml:space="preserve">；本篇 </w:t>
      </w:r>
      <w:r>
        <w:rPr>
          <w:b/>
        </w:rPr>
        <w:t>表 1 / 图 2</w:t>
      </w:r>
      <w:r>
        <w:t xml:space="preserve"> 的 </w:t>
      </w:r>
      <w:r>
        <w:rPr>
          <w:b/>
        </w:rPr>
        <w:t>`endpoint`</w:t>
      </w:r>
      <w:r>
        <w:t xml:space="preserve"> AUC </w:t>
      </w:r>
      <w:r>
        <w:rPr>
          <w:b/>
        </w:rPr>
        <w:t>则基于列 `endpoint` 本身</w:t>
      </w:r>
      <w:r>
        <w:t>。</w:t>
      </w:r>
      <w:r>
        <w:rPr>
          <w:b/>
        </w:rPr>
        <w:t>并排引用时建议先分列任务</w:t>
      </w:r>
      <w:r>
        <w:t>，再讨论模型差异。</w:t>
      </w:r>
    </w:p>
    <w:p/>
    <w:p>
      <w:pPr>
        <w:pStyle w:val="Heading2"/>
      </w:pPr>
      <w:r>
        <w:t>5　综合讨论（收束多条探索支线）</w:t>
      </w:r>
    </w:p>
    <w:p>
      <w:r>
        <w:rPr>
          <w:b/>
        </w:rPr>
        <w:t>(1)</w:t>
      </w:r>
      <w:r>
        <w:t xml:space="preserve"> 本篇按 </w:t>
      </w:r>
      <w:r>
        <w:rPr>
          <w:b/>
        </w:rPr>
        <w:t>scout → 协议固定 → 批次递增 → 择优冠军</w:t>
      </w:r>
      <w:r>
        <w:t xml:space="preserve">书写，意在把 </w:t>
      </w:r>
      <w:r>
        <w:rPr>
          <w:b/>
        </w:rPr>
        <w:t>判别、存活时间视角、校准、阈值复述、不确定性、解释性与入组敏感性</w:t>
      </w:r>
      <w:r>
        <w:t xml:space="preserve">连成 </w:t>
      </w:r>
      <w:r>
        <w:rPr>
          <w:b/>
        </w:rPr>
        <w:t>可追溯链条</w:t>
      </w:r>
      <w:r>
        <w:t>，而非单点「报一个 AUC」。</w:t>
      </w:r>
    </w:p>
    <w:p>
      <w:r>
        <w:rPr>
          <w:b/>
        </w:rPr>
        <w:t>(2)</w:t>
      </w:r>
      <w:r>
        <w:t xml:space="preserve"> </w:t>
      </w:r>
      <w:r>
        <w:rPr>
          <w:b/>
        </w:rPr>
        <w:t>判别器 vs Cox</w:t>
      </w:r>
      <w:r>
        <w:t xml:space="preserve">：在 </w:t>
      </w:r>
      <w:r>
        <w:rPr>
          <w:b/>
        </w:rPr>
        <w:t>依 `time` 截断的 time-dependent ROC</w:t>
      </w:r>
      <w:r>
        <w:t xml:space="preserve">（图 1）上浅 </w:t>
      </w:r>
      <w:r>
        <w:rPr>
          <w:b/>
        </w:rPr>
        <w:t>MLP / 集成</w:t>
      </w:r>
      <w:r>
        <w:t xml:space="preserve"> 排序常更强；在全队列 </w:t>
      </w:r>
      <w:r>
        <w:rPr>
          <w:b/>
        </w:rPr>
        <w:t>`endpoint`=1</w:t>
      </w:r>
      <w:r>
        <w:t xml:space="preserve"> 仅占约 </w:t>
      </w:r>
      <w:r>
        <w:rPr>
          <w:b/>
        </w:rPr>
        <w:t>8%</w:t>
      </w:r>
      <w:r>
        <w:t xml:space="preserve"> 的 </w:t>
      </w:r>
      <w:r>
        <w:rPr>
          <w:b/>
        </w:rPr>
        <w:t>full-cohort</w:t>
      </w:r>
      <w:r>
        <w:t xml:space="preserve"> 入组下 </w:t>
      </w:r>
      <w:r>
        <w:rPr>
          <w:b/>
        </w:rPr>
        <w:t>fusion AUC（≈0.58）</w:t>
      </w:r>
      <w:r>
        <w:t xml:space="preserve"> 回落，提示 </w:t>
      </w:r>
      <w:r>
        <w:rPr>
          <w:b/>
        </w:rPr>
        <w:t>Rare-event（罕见阳性）与入组敏感性</w:t>
      </w:r>
      <w:r>
        <w:t xml:space="preserve">——须与 </w:t>
      </w:r>
      <w:r>
        <w:rPr>
          <w:b/>
        </w:rPr>
        <w:t>`endpoint` 占比</w:t>
      </w:r>
      <w:r>
        <w:t xml:space="preserve"> 共读，</w:t>
      </w:r>
      <w:r>
        <w:rPr>
          <w:b/>
        </w:rPr>
        <w:t>不宜</w:t>
      </w:r>
      <w:r>
        <w:t>仅从算法层面判优劣。</w:t>
      </w:r>
    </w:p>
    <w:p>
      <w:r>
        <w:rPr>
          <w:b/>
        </w:rPr>
        <w:t>(3)</w:t>
      </w:r>
      <w:r>
        <w:t xml:space="preserve"> </w:t>
      </w:r>
      <w:r>
        <w:rPr>
          <w:b/>
        </w:rPr>
        <w:t>MLP vs 融合</w:t>
      </w:r>
      <w:r>
        <w:t>：</w:t>
      </w:r>
      <w:r>
        <w:rPr>
          <w:b/>
        </w:rPr>
        <w:t>MLP 排序常更强</w:t>
      </w:r>
      <w:r>
        <w:t>，</w:t>
      </w:r>
      <w:r>
        <w:rPr>
          <w:b/>
        </w:rPr>
        <w:t>融合</w:t>
      </w:r>
      <w:r>
        <w:t xml:space="preserve">在 </w:t>
      </w:r>
      <w:r>
        <w:rPr>
          <w:b/>
        </w:rPr>
        <w:t>加权综合准则</w:t>
      </w:r>
      <w:r>
        <w:t xml:space="preserve">与 </w:t>
      </w:r>
      <w:r>
        <w:rPr>
          <w:b/>
        </w:rPr>
        <w:t>校准/阈值点</w:t>
      </w:r>
      <w:r>
        <w:t xml:space="preserve">上折中；部署选择应依赖 </w:t>
      </w:r>
      <w:r>
        <w:rPr>
          <w:b/>
        </w:rPr>
        <w:t>外部数据与代价矩阵</w:t>
      </w:r>
      <w:r>
        <w:t>而非单次划分玄学。</w:t>
      </w:r>
    </w:p>
    <w:p>
      <w:r>
        <w:rPr>
          <w:b/>
        </w:rPr>
        <w:t>(4)</w:t>
      </w:r>
      <w:r>
        <w:t xml:space="preserve"> </w:t>
      </w:r>
      <w:r>
        <w:rPr>
          <w:b/>
        </w:rPr>
        <w:t>小样本与外测</w:t>
      </w:r>
      <w:r>
        <w:t xml:space="preserve">：测试集 </w:t>
      </w:r>
      <w:r>
        <w:rPr>
          <w:b/>
        </w:rPr>
        <w:t>`endpoint`=1</w:t>
      </w:r>
      <w:r>
        <w:t xml:space="preserve"> 仅 </w:t>
      </w:r>
      <w:r>
        <w:rPr>
          <w:b/>
        </w:rPr>
        <w:t>11 例</w:t>
      </w:r>
      <w:r>
        <w:t xml:space="preserve"> ⇒ </w:t>
      </w:r>
      <w:r>
        <w:rPr>
          <w:b/>
        </w:rPr>
        <w:t>Bootstrap 区间仍宽（表 4、图 9–10）</w:t>
      </w:r>
      <w:r>
        <w:t xml:space="preserve">；多 seed 下 </w:t>
      </w:r>
      <w:r>
        <w:rPr>
          <w:b/>
        </w:rPr>
        <w:t>endpoint AUC</w:t>
      </w:r>
      <w:r>
        <w:t xml:space="preserve"> 抖动相对小，二者互补。</w:t>
      </w:r>
    </w:p>
    <w:p>
      <w:r>
        <w:rPr>
          <w:b/>
        </w:rPr>
        <w:t>(5)</w:t>
      </w:r>
      <w:r>
        <w:t xml:space="preserve"> </w:t>
      </w:r>
      <w:r>
        <w:rPr>
          <w:b/>
        </w:rPr>
        <w:t>NRI/IDI（表 7）</w:t>
      </w:r>
      <w:r>
        <w:t xml:space="preserve"> 指标体系与解释框架见参考文献[15][16]；本表仅供探索性阅读，不因单一数字作强结论。</w:t>
      </w:r>
    </w:p>
    <w:p>
      <w:r>
        <w:rPr>
          <w:b/>
        </w:rPr>
        <w:t>(6)</w:t>
      </w:r>
      <w:r>
        <w:t xml:space="preserve"> </w:t>
      </w:r>
      <w:r>
        <w:rPr>
          <w:b/>
        </w:rPr>
        <w:t>局限</w:t>
      </w:r>
      <w:r>
        <w:t>：多来源异质；</w:t>
      </w:r>
      <w:r>
        <w:rPr>
          <w:b/>
        </w:rPr>
        <w:t>`endpoint`、`time`</w:t>
      </w:r>
      <w:r>
        <w:t xml:space="preserve"> 须在数据字典中与临床称谓一致（本报告已与当前脚本：二分终点 vs 随访天数）；sprint 与当前 </w:t>
      </w:r>
      <w:r>
        <w:rPr>
          <w:b/>
        </w:rPr>
        <w:t>`endpoint`</w:t>
      </w:r>
      <w:r>
        <w:t xml:space="preserve"> 监督语义不同；Mermaid 在 Word 中或需导出为静态图。</w:t>
      </w:r>
    </w:p>
    <w:p/>
    <w:p>
      <w:pPr>
        <w:pStyle w:val="Heading2"/>
      </w:pPr>
      <w:r>
        <w:t>6　结论</w:t>
      </w:r>
    </w:p>
    <w:p>
      <w:r>
        <w:t xml:space="preserve">在 </w:t>
      </w:r>
      <w:r>
        <w:rPr>
          <w:b/>
        </w:rPr>
        <w:t>固定外层划分与预选加权准则</w:t>
      </w:r>
      <w:r>
        <w:t>下，</w:t>
      </w:r>
      <w:r>
        <w:rPr>
          <w:b/>
        </w:rPr>
        <w:t>tree-MLP（树与浅层神经网络）融合</w:t>
      </w:r>
      <w:r>
        <w:t xml:space="preserve">在主分析 </w:t>
      </w:r>
      <w:r>
        <w:rPr>
          <w:b/>
        </w:rPr>
        <w:t>`min_samples≈320` 队列</w:t>
      </w:r>
      <w:r>
        <w:t xml:space="preserve">上达到外测 </w:t>
      </w:r>
      <w:r>
        <w:rPr>
          <w:b/>
        </w:rPr>
        <w:t>`endpoint`</w:t>
      </w:r>
      <w:r>
        <w:t xml:space="preserve"> 判别 </w:t>
      </w:r>
      <w:r>
        <w:rPr>
          <w:b/>
        </w:rPr>
        <w:t>AUC≈0.79 量级</w:t>
      </w:r>
      <w:r>
        <w:t xml:space="preserve">，阈 </w:t>
      </w:r>
      <w:r>
        <w:rPr>
          <w:b/>
        </w:rPr>
        <w:t>0.5</w:t>
      </w:r>
      <w:r>
        <w:t xml:space="preserve"> 时 </w:t>
      </w:r>
      <w:r>
        <w:rPr>
          <w:b/>
        </w:rPr>
        <w:t>BA/F1</w:t>
      </w:r>
      <w:r>
        <w:t xml:space="preserve"> 优于同标签早期冒烟融合；依托 </w:t>
      </w:r>
      <w:r>
        <w:rPr>
          <w:b/>
        </w:rPr>
        <w:t>OOF 主阈值</w:t>
      </w:r>
      <w:r>
        <w:t xml:space="preserve">可在外测复述 </w:t>
      </w:r>
      <w:r>
        <w:rPr>
          <w:b/>
        </w:rPr>
        <w:t>Sens/Spec/NPV</w:t>
      </w:r>
      <w:r>
        <w:t xml:space="preserve"> 等。</w:t>
      </w:r>
      <w:r>
        <w:rPr>
          <w:b/>
        </w:rPr>
        <w:t>full-cohort</w:t>
      </w:r>
      <w:r>
        <w:t xml:space="preserve"> 表明 </w:t>
      </w:r>
      <w:r>
        <w:rPr>
          <w:b/>
        </w:rPr>
        <w:t>`endpoint`=1</w:t>
      </w:r>
      <w:r>
        <w:t xml:space="preserve"> 稀疏时判别排序显著走弱，宜与主分析 </w:t>
      </w:r>
      <w:r>
        <w:rPr>
          <w:b/>
        </w:rPr>
        <w:t>并列陈述</w:t>
      </w:r>
      <w:r>
        <w:t xml:space="preserve">。推荐使用 </w:t>
      </w:r>
      <w:r>
        <w:rPr>
          <w:b/>
        </w:rPr>
        <w:t>`report_champion_bundle_20260501_1338`</w:t>
      </w:r>
      <w:r>
        <w:t xml:space="preserve"> 作为一级复现材料； </w:t>
      </w:r>
      <w:r>
        <w:rPr>
          <w:b/>
        </w:rPr>
        <w:t>`outer_test_predictions_bundle.csv`</w:t>
      </w:r>
      <w:r>
        <w:t xml:space="preserve"> 中含外测 </w:t>
      </w:r>
      <w:r>
        <w:rPr>
          <w:b/>
        </w:rPr>
        <w:t>`endpoint`、`time`</w:t>
      </w:r>
      <w:r>
        <w:t xml:space="preserve"> 与模型输出，便于复核。</w:t>
      </w:r>
    </w:p>
    <w:p/>
    <w:p>
      <w:pPr>
        <w:pStyle w:val="Heading2"/>
      </w:pPr>
      <w:r>
        <w:t>7　参考文献</w:t>
      </w:r>
    </w:p>
    <w:p>
      <w:r>
        <w:rPr>
          <w:b/>
        </w:rPr>
        <w:t>[1]</w:t>
      </w:r>
      <w:r>
        <w:t xml:space="preserve"> CERQUEIRA M D, WEISSMAN N J, DILSZIAN V, et al. Standardized myocardial segmentation and nomenclature for tomographic imaging of the heart: a statement for healthcare professionals from the Cardiac Imaging Committee of the Council on Clinical Cardiology of the American Heart Association[J]. *Circulation*, 2002, 105(4): 539-542.</w:t>
      </w:r>
    </w:p>
    <w:p>
      <w:r>
        <w:rPr>
          <w:b/>
        </w:rPr>
        <w:t>[2]</w:t>
      </w:r>
      <w:r>
        <w:t xml:space="preserve"> COX D R. Regression models and life-tables[J]. *Journal of the Royal Statistical Society: Series B (Methodological)*, 1972, 34(2): 187-220.</w:t>
      </w:r>
    </w:p>
    <w:p>
      <w:r>
        <w:rPr>
          <w:b/>
        </w:rPr>
        <w:t>[3]</w:t>
      </w:r>
      <w:r>
        <w:t xml:space="preserve"> HARRELL F E JR, LEE K L, MARK D B. Multivariable prognostic models: issues in developing models, evaluating assumptions and adequacy, and measuring and reducing errors[J]. *Statistics in Medicine*, 1996, 15(4): 361-387.</w:t>
      </w:r>
    </w:p>
    <w:p>
      <w:r>
        <w:rPr>
          <w:b/>
        </w:rPr>
        <w:t>[4]</w:t>
      </w:r>
      <w:r>
        <w:t xml:space="preserve"> HEAGERTY P J, LUMLEY T, PEPE M S. Time-dependent ROC curves for censored survival data and a diagnostic marker[J]. *Biometrics*, 2000, 56(2): 337-347.</w:t>
      </w:r>
    </w:p>
    <w:p>
      <w:r>
        <w:rPr>
          <w:b/>
        </w:rPr>
        <w:t>[5]</w:t>
      </w:r>
      <w:r>
        <w:t xml:space="preserve"> VICKERS A J, ELKIN E B. Decision curve analysis: a novel method for evaluating prediction models[J]. *Medical Decision Making*, 2006, 26(6): 565-574.</w:t>
      </w:r>
    </w:p>
    <w:p>
      <w:r>
        <w:rPr>
          <w:b/>
        </w:rPr>
        <w:t>[6]</w:t>
      </w:r>
      <w:r>
        <w:t xml:space="preserve"> STEYERBERG E W, VERGOUWE Y. Towards better clinical prediction models: seven steps for development and an ABCD for validation[J]. *European Heart Journal*, 2014, 35(29): 1925-1931.</w:t>
      </w:r>
    </w:p>
    <w:p>
      <w:r>
        <w:rPr>
          <w:b/>
        </w:rPr>
        <w:t>[7]</w:t>
      </w:r>
      <w:r>
        <w:t xml:space="preserve"> HOSMER D W Jr, LEMESHOW S, STURDIVANT R X. *Applied Logistic Regression*[M]. 3rd ed. Hoboken: Wiley, 2013.</w:t>
      </w:r>
    </w:p>
    <w:p>
      <w:r>
        <w:rPr>
          <w:b/>
        </w:rPr>
        <w:t>[8]</w:t>
      </w:r>
      <w:r>
        <w:t xml:space="preserve"> ZADROZNY B, ELKAN C. Transforming classifier scores into accurate multiclass probability estimates[C]//Proceedings of the eighth ACM SIGKDD international conference on Knowledge discovery and data mining — KDD '02. New York: ACM, 2002: 694-699.</w:t>
      </w:r>
    </w:p>
    <w:p>
      <w:r>
        <w:rPr>
          <w:b/>
        </w:rPr>
        <w:t>[9]</w:t>
      </w:r>
      <w:r>
        <w:t xml:space="preserve"> CHEN T, GUESTRIN C. XGBoost: a scalable tree boosting system[C]//Proceedings of the 22nd ACM SIGKDD International Conference on Knowledge Discovery and Data Mining (KDD '16). ACM, 2016: 785-794.</w:t>
      </w:r>
    </w:p>
    <w:p>
      <w:r>
        <w:rPr>
          <w:b/>
        </w:rPr>
        <w:t>[10]</w:t>
      </w:r>
      <w:r>
        <w:t xml:space="preserve"> BRIER G W. Verification of forecasts expressed in terms of probability[J]. *Monthly Weather Review*, 1950, 78(1): 1-3.</w:t>
      </w:r>
    </w:p>
    <w:p>
      <w:r>
        <w:rPr>
          <w:b/>
        </w:rPr>
        <w:t>[11]</w:t>
      </w:r>
      <w:r>
        <w:t xml:space="preserve"> PEDREGOSA F, VAROQUAUX G, GRAMFORT A, et al. Scikit-learn: machine learning in Python[J]. *Journal of Machine Learning Research*, 2011, 12: 2825-2830.</w:t>
      </w:r>
    </w:p>
    <w:p>
      <w:r>
        <w:rPr>
          <w:b/>
        </w:rPr>
        <w:t>[12]</w:t>
      </w:r>
      <w:r>
        <w:t xml:space="preserve"> EFRON B, TIBSHIRANI R. *An introduction to the bootstrap*[M]. New York: Chapman &amp; Hall, 1993.</w:t>
      </w:r>
    </w:p>
    <w:p>
      <w:r>
        <w:rPr>
          <w:b/>
        </w:rPr>
        <w:t>[13]</w:t>
      </w:r>
      <w:r>
        <w:t xml:space="preserve"> COLLINS G S, REITSMA J B, ALTMAN D G, MOONS K G M. Transparent Reporting of a multivariable prediction model for Individual Prognosis or Diagnosis (TRIPOD): the TRIPOD statement[J]. *Annals of Internal Medicine*, 2015, 162(1): 55-63.</w:t>
      </w:r>
    </w:p>
    <w:p>
      <w:r>
        <w:rPr>
          <w:b/>
        </w:rPr>
        <w:t>[14]</w:t>
      </w:r>
      <w:r>
        <w:t xml:space="preserve"> HANLEY J A, MCNEIL B J. The meaning and use of the area under a receiver operating characteristic (ROC) curve[J]. *Radiology*, 1982, 143(1): 29-36.</w:t>
      </w:r>
    </w:p>
    <w:p>
      <w:r>
        <w:rPr>
          <w:b/>
        </w:rPr>
        <w:t>[15]</w:t>
      </w:r>
      <w:r>
        <w:t xml:space="preserve"> PENCINA M J, D'AGOSTINO R B Sr, D'AGOSTINO R B Jr, et al. Evaluating the added predictive ability of a new marker: from area under the ROC curve to reclassification and beyond[J]. *Statistics in Medicine*, 2008, 27(2): 157-172.</w:t>
      </w:r>
    </w:p>
    <w:p>
      <w:r>
        <w:rPr>
          <w:b/>
        </w:rPr>
        <w:t>[16]</w:t>
      </w:r>
      <w:r>
        <w:t xml:space="preserve"> PENCINA M J, D'AGOSTINO R B Sr, STEYERBERG E W. Extensions of net reclassification improvement calculations to measures useful for categorical risk assessment[J]. *Clinical Epidemiology*, 2011, 3: 207-217.</w:t>
      </w:r>
    </w:p>
    <w:p>
      <w:r>
        <w:t xml:space="preserve">注：Bootstrap 解释为 </w:t>
      </w:r>
      <w:r>
        <w:rPr>
          <w:b/>
        </w:rPr>
        <w:t>外层测试集的重复抽样</w:t>
      </w:r>
      <w:r>
        <w:t>，方法学上与文献[12]一致。</w:t>
      </w:r>
    </w:p>
    <w:p/>
    <w:p>
      <w:pPr>
        <w:pStyle w:val="Heading2"/>
      </w:pPr>
      <w:r>
        <w:t>附录 A　图表文件名与正文图号对照（冠军目录）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文件（相对 `outputs_clinical_endpoint_n320_bs400/`）</w:t>
            </w:r>
          </w:p>
        </w:tc>
        <w:tc>
          <w:tcPr>
            <w:tcW w:type="dxa" w:w="2880"/>
          </w:tcPr>
          <w:p>
            <w:r>
              <w:t>图号</w:t>
            </w:r>
          </w:p>
        </w:tc>
        <w:tc>
          <w:tcPr>
            <w:tcW w:type="dxa" w:w="2880"/>
          </w:tcPr>
          <w:p>
            <w:r>
              <w:t>正文绑定环节</w:t>
            </w:r>
          </w:p>
        </w:tc>
      </w:tr>
      <w:tr>
        <w:tc>
          <w:tcPr>
            <w:tcW w:type="dxa" w:w="2880"/>
          </w:tcPr>
          <w:p>
            <w:r>
              <w:t>`figures/time_dependent_auc_curve.png`</w:t>
            </w:r>
          </w:p>
        </w:tc>
        <w:tc>
          <w:tcPr>
            <w:tcW w:type="dxa" w:w="2880"/>
          </w:tcPr>
          <w:p>
            <w:r>
              <w:t>图 1</w:t>
            </w:r>
          </w:p>
        </w:tc>
        <w:tc>
          <w:tcPr>
            <w:tcW w:type="dxa" w:w="2880"/>
          </w:tcPr>
          <w:p>
            <w:r>
              <w:t>§4.3</w:t>
            </w:r>
          </w:p>
        </w:tc>
      </w:tr>
      <w:tr>
        <w:tc>
          <w:tcPr>
            <w:tcW w:type="dxa" w:w="2880"/>
          </w:tcPr>
          <w:p>
            <w:r>
              <w:t>`figures/roc_endpoint_multimodel_test.png`</w:t>
            </w:r>
          </w:p>
        </w:tc>
        <w:tc>
          <w:tcPr>
            <w:tcW w:type="dxa" w:w="2880"/>
          </w:tcPr>
          <w:p>
            <w:r>
              <w:t>图 2</w:t>
            </w:r>
          </w:p>
        </w:tc>
        <w:tc>
          <w:tcPr>
            <w:tcW w:type="dxa" w:w="2880"/>
          </w:tcPr>
          <w:p>
            <w:r>
              <w:t>§4.4</w:t>
            </w:r>
          </w:p>
        </w:tc>
      </w:tr>
      <w:tr>
        <w:tc>
          <w:tcPr>
            <w:tcW w:type="dxa" w:w="2880"/>
          </w:tcPr>
          <w:p>
            <w:r>
              <w:t>`figures/calibration_curve_endpoint_ensemble.png`</w:t>
            </w:r>
          </w:p>
        </w:tc>
        <w:tc>
          <w:tcPr>
            <w:tcW w:type="dxa" w:w="2880"/>
          </w:tcPr>
          <w:p>
            <w:r>
              <w:t>图 3</w:t>
            </w:r>
          </w:p>
        </w:tc>
        <w:tc>
          <w:tcPr>
            <w:tcW w:type="dxa" w:w="2880"/>
          </w:tcPr>
          <w:p>
            <w:r>
              <w:t>§4.5</w:t>
            </w:r>
          </w:p>
        </w:tc>
      </w:tr>
      <w:tr>
        <w:tc>
          <w:tcPr>
            <w:tcW w:type="dxa" w:w="2880"/>
          </w:tcPr>
          <w:p>
            <w:r>
              <w:t>`figures/decision_curve_endpoint_ensemble.png`</w:t>
            </w:r>
          </w:p>
        </w:tc>
        <w:tc>
          <w:tcPr>
            <w:tcW w:type="dxa" w:w="2880"/>
          </w:tcPr>
          <w:p>
            <w:r>
              <w:t>图 4</w:t>
            </w:r>
          </w:p>
        </w:tc>
        <w:tc>
          <w:tcPr>
            <w:tcW w:type="dxa" w:w="2880"/>
          </w:tcPr>
          <w:p>
            <w:r>
              <w:t>§4.5</w:t>
            </w:r>
          </w:p>
        </w:tc>
      </w:tr>
      <w:tr>
        <w:tc>
          <w:tcPr>
            <w:tcW w:type="dxa" w:w="2880"/>
          </w:tcPr>
          <w:p>
            <w:r>
              <w:t>`figures/bullseye_standard_diff.png`</w:t>
            </w:r>
          </w:p>
        </w:tc>
        <w:tc>
          <w:tcPr>
            <w:tcW w:type="dxa" w:w="2880"/>
          </w:tcPr>
          <w:p>
            <w:r>
              <w:t>图 5</w:t>
            </w:r>
          </w:p>
        </w:tc>
        <w:tc>
          <w:tcPr>
            <w:tcW w:type="dxa" w:w="2880"/>
          </w:tcPr>
          <w:p>
            <w:r>
              <w:t>§4.8</w:t>
            </w:r>
          </w:p>
        </w:tc>
      </w:tr>
      <w:tr>
        <w:tc>
          <w:tcPr>
            <w:tcW w:type="dxa" w:w="2880"/>
          </w:tcPr>
          <w:p>
            <w:r>
              <w:t>`figures/bullseye_top5_stability.png`</w:t>
            </w:r>
          </w:p>
        </w:tc>
        <w:tc>
          <w:tcPr>
            <w:tcW w:type="dxa" w:w="2880"/>
          </w:tcPr>
          <w:p>
            <w:r>
              <w:t>图 6</w:t>
            </w:r>
          </w:p>
        </w:tc>
        <w:tc>
          <w:tcPr>
            <w:tcW w:type="dxa" w:w="2880"/>
          </w:tcPr>
          <w:p>
            <w:r>
              <w:t>§4.8</w:t>
            </w:r>
          </w:p>
        </w:tc>
      </w:tr>
      <w:tr>
        <w:tc>
          <w:tcPr>
            <w:tcW w:type="dxa" w:w="2880"/>
          </w:tcPr>
          <w:p>
            <w:r>
              <w:t>`figures_extra/fig_bar_models_endpoint_metrics.png`</w:t>
            </w:r>
          </w:p>
        </w:tc>
        <w:tc>
          <w:tcPr>
            <w:tcW w:type="dxa" w:w="2880"/>
          </w:tcPr>
          <w:p>
            <w:r>
              <w:t>图 7</w:t>
            </w:r>
          </w:p>
        </w:tc>
        <w:tc>
          <w:tcPr>
            <w:tcW w:type="dxa" w:w="2880"/>
          </w:tcPr>
          <w:p>
            <w:r>
              <w:t>§4.2</w:t>
            </w:r>
          </w:p>
        </w:tc>
      </w:tr>
      <w:tr>
        <w:tc>
          <w:tcPr>
            <w:tcW w:type="dxa" w:w="2880"/>
          </w:tcPr>
          <w:p>
            <w:r>
              <w:t>`figures_extra/fig_bar_threshold_rules.png`</w:t>
            </w:r>
          </w:p>
        </w:tc>
        <w:tc>
          <w:tcPr>
            <w:tcW w:type="dxa" w:w="2880"/>
          </w:tcPr>
          <w:p>
            <w:r>
              <w:t>图 8</w:t>
            </w:r>
          </w:p>
        </w:tc>
        <w:tc>
          <w:tcPr>
            <w:tcW w:type="dxa" w:w="2880"/>
          </w:tcPr>
          <w:p>
            <w:r>
              <w:t>§4.6</w:t>
            </w:r>
          </w:p>
        </w:tc>
      </w:tr>
      <w:tr>
        <w:tc>
          <w:tcPr>
            <w:tcW w:type="dxa" w:w="2880"/>
          </w:tcPr>
          <w:p>
            <w:r>
              <w:t>`figures_extra/fig_forest_bootstrap_ci_model6.png`</w:t>
            </w:r>
          </w:p>
        </w:tc>
        <w:tc>
          <w:tcPr>
            <w:tcW w:type="dxa" w:w="2880"/>
          </w:tcPr>
          <w:p>
            <w:r>
              <w:t>图 9</w:t>
            </w:r>
          </w:p>
        </w:tc>
        <w:tc>
          <w:tcPr>
            <w:tcW w:type="dxa" w:w="2880"/>
          </w:tcPr>
          <w:p>
            <w:r>
              <w:t>§4.7</w:t>
            </w:r>
          </w:p>
        </w:tc>
      </w:tr>
      <w:tr>
        <w:tc>
          <w:tcPr>
            <w:tcW w:type="dxa" w:w="2880"/>
          </w:tcPr>
          <w:p>
            <w:r>
              <w:t>`figures_extra/fig_hist_bootstrap_ensemble_auc_endpoint.png`</w:t>
            </w:r>
          </w:p>
        </w:tc>
        <w:tc>
          <w:tcPr>
            <w:tcW w:type="dxa" w:w="2880"/>
          </w:tcPr>
          <w:p>
            <w:r>
              <w:t>图 10</w:t>
            </w:r>
          </w:p>
        </w:tc>
        <w:tc>
          <w:tcPr>
            <w:tcW w:type="dxa" w:w="2880"/>
          </w:tcPr>
          <w:p>
            <w:r>
              <w:t>§4.7</w:t>
            </w:r>
          </w:p>
        </w:tc>
      </w:tr>
      <w:tr>
        <w:tc>
          <w:tcPr>
            <w:tcW w:type="dxa" w:w="2880"/>
          </w:tcPr>
          <w:p>
            <w:r>
              <w:t>`figures_extra/fig_bar_segment_stability_top.png`</w:t>
            </w:r>
          </w:p>
        </w:tc>
        <w:tc>
          <w:tcPr>
            <w:tcW w:type="dxa" w:w="2880"/>
          </w:tcPr>
          <w:p>
            <w:r>
              <w:t>图 11</w:t>
            </w:r>
          </w:p>
        </w:tc>
        <w:tc>
          <w:tcPr>
            <w:tcW w:type="dxa" w:w="2880"/>
          </w:tcPr>
          <w:p>
            <w:r>
              <w:t>§4.8</w:t>
            </w:r>
          </w:p>
        </w:tc>
      </w:tr>
      <w:tr>
        <w:tc>
          <w:tcPr>
            <w:tcW w:type="dxa" w:w="2880"/>
          </w:tcPr>
          <w:p>
            <w:r>
              <w:t>`figures_extra/fig_compare_two_cohorts_ensemble.png`</w:t>
            </w:r>
          </w:p>
        </w:tc>
        <w:tc>
          <w:tcPr>
            <w:tcW w:type="dxa" w:w="2880"/>
          </w:tcPr>
          <w:p>
            <w:r>
              <w:t>图 12</w:t>
            </w:r>
          </w:p>
        </w:tc>
        <w:tc>
          <w:tcPr>
            <w:tcW w:type="dxa" w:w="2880"/>
          </w:tcPr>
          <w:p>
            <w:r>
              <w:t>§4.9</w:t>
            </w:r>
          </w:p>
        </w:tc>
      </w:tr>
      <w:tr>
        <w:tc>
          <w:tcPr>
            <w:tcW w:type="dxa" w:w="2880"/>
          </w:tcPr>
          <w:p>
            <w:r>
              <w:t>`outer_test_predictions_bundle.csv`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ROC / 审稿复算</w:t>
            </w:r>
          </w:p>
        </w:tc>
      </w:tr>
    </w:tbl>
    <w:p/>
    <w:p>
      <w:r>
        <w:rPr>
          <w:b/>
        </w:rPr>
        <w:t>表 1–7</w:t>
      </w:r>
      <w:r>
        <w:t xml:space="preserve"> 数据源：`metrics_endpoint_binary_test.csv`、`clinical_thresholds_*`、`metrics_fixed_test.csv`、`metrics_ci_summary.csv`、`seed_repeat_summary.csv`、`segment_stability.csv`、`nri_idi_fixed_test.csv`。其余：`bootstrap_metrics.csv`、`protocol.json`、`protocol_endpoint.json`。</w:t>
      </w:r>
    </w:p>
    <w:p/>
    <w:p>
      <w:pPr>
        <w:pStyle w:val="Heading2"/>
      </w:pPr>
      <w:r>
        <w:t>附录 B　可复现实验命令范式</w:t>
      </w:r>
    </w:p>
    <w:p>
      <w:pPr>
        <w:ind w:left="288"/>
      </w:pPr>
      <w:r>
        <w:rPr>
          <w:rFonts w:ascii="Courier New" w:hAnsi="Courier New"/>
          <w:sz w:val="18"/>
        </w:rPr>
        <w:t># 在提交包根目录下打开终端后执行（路径均为相对 .\）</w:t>
        <w:br/>
        <w:t>python ".\01_code\deep_experiment_full_gpu.py" --min-samples 320 --bootstrap 400 --compute auto ^</w:t>
        <w:br/>
        <w:t xml:space="preserve">  --output-dir ".\outputs_clinical_endpoint_n320_bs400"</w:t>
        <w:br/>
        <w:br/>
        <w:t>python ".\01_code\deep_experiment_full_gpu.py" --full-cohort --bootstrap 400 --compute auto ^</w:t>
        <w:br/>
        <w:t xml:space="preserve">  --output-dir ".\outputs_clinical_endpoint_full_bs400"</w:t>
        <w:br/>
        <w:br/>
        <w:t>python ".\01_code\pick_report_champion.py"</w:t>
        <w:br/>
        <w:br/>
        <w:t>python ".\01_code\make_report_extra_figures.py" --output-dir ".\outputs_clinical_endpoint_n320_bs400" ^</w:t>
        <w:br/>
        <w:t xml:space="preserve">  --compare-endpoint-csv ".\outputs_clinical_endpoint_full_bs400\metrics_endpoint_binary_test.csv"</w:t>
        <w:br/>
        <w:t># `make_report_extra_figures.py` 会重写 `figures/`（ROC、校准、DCA、time-dep AUC、bullseye）与 `figures_extra/`；带 `--compare-endpoint-csv` 时另写图 12。</w:t>
      </w:r>
    </w:p>
    <w:p>
      <w:r>
        <w:t>导出 Word（与本包同步后的 MD）：</w:t>
      </w:r>
    </w:p>
    <w:p>
      <w:pPr>
        <w:ind w:left="288"/>
      </w:pPr>
      <w:r>
        <w:rPr>
          <w:rFonts w:ascii="Courier New" w:hAnsi="Courier New"/>
          <w:sz w:val="18"/>
        </w:rPr>
        <w:t>python ".\01_code\export_md_to_docx.py" ".\report_academic_integrated.md" --base-dir "." -o ".\report_academic_integrated.docx"</w:t>
      </w:r>
    </w:p>
    <w:p/>
    <w:p>
      <w:r>
        <w:t>*数值与图片均依据当前仓库已跑批次；更改 seed、bootstrap、入组或数据路径后，请以最新 `outputs_*` 目录复核。*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