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E1B4FFD">
      <w:pPr>
        <w:rPr>
          <w:sz w:val="28"/>
          <w:szCs w:val="28"/>
        </w:rPr>
      </w:pPr>
      <w:r>
        <w:rPr>
          <w:sz w:val="28"/>
          <w:szCs w:val="28"/>
        </w:rPr>
        <w:t>1. 文献基本信息</w:t>
      </w:r>
    </w:p>
    <w:p w14:paraId="69FCB747">
      <w:pPr>
        <w:rPr>
          <w:sz w:val="28"/>
          <w:szCs w:val="28"/>
        </w:rPr>
      </w:pPr>
      <w:r>
        <w:rPr>
          <w:sz w:val="28"/>
          <w:szCs w:val="28"/>
        </w:rPr>
        <w:t>标题：Evaluating the Completeness and Granularity of Functional Requirements Specifications: A Controlled Experiment</w:t>
      </w:r>
    </w:p>
    <w:p w14:paraId="09A2EB08">
      <w:pPr>
        <w:rPr>
          <w:sz w:val="28"/>
          <w:szCs w:val="28"/>
        </w:rPr>
      </w:pPr>
      <w:r>
        <w:rPr>
          <w:sz w:val="28"/>
          <w:szCs w:val="28"/>
        </w:rPr>
        <w:t>作者：Sergio España, Nelly Condori-Fernández, Arturo González, Óscar Pastor</w:t>
      </w:r>
    </w:p>
    <w:p w14:paraId="22B2A1D0">
      <w:pPr>
        <w:rPr>
          <w:sz w:val="28"/>
          <w:szCs w:val="28"/>
        </w:rPr>
      </w:pPr>
      <w:r>
        <w:rPr>
          <w:sz w:val="28"/>
          <w:szCs w:val="28"/>
        </w:rPr>
        <w:t>发表年份：2009</w:t>
      </w:r>
    </w:p>
    <w:p w14:paraId="49A4E7A6">
      <w:pPr>
        <w:rPr>
          <w:sz w:val="28"/>
          <w:szCs w:val="28"/>
        </w:rPr>
      </w:pPr>
      <w:r>
        <w:rPr>
          <w:sz w:val="28"/>
          <w:szCs w:val="28"/>
        </w:rPr>
        <w:t>发表期刊/会议：17th IEEE International Requirements Engineering Conference (RE09)</w:t>
      </w:r>
    </w:p>
    <w:p w14:paraId="39672014">
      <w:pPr>
        <w:rPr>
          <w:sz w:val="28"/>
          <w:szCs w:val="28"/>
        </w:rPr>
      </w:pPr>
      <w:r>
        <w:rPr>
          <w:sz w:val="28"/>
          <w:szCs w:val="28"/>
        </w:rPr>
        <w:t>DOI/链接：</w:t>
      </w:r>
      <w:r>
        <w:rPr>
          <w:sz w:val="28"/>
          <w:szCs w:val="28"/>
        </w:rPr>
        <w:fldChar w:fldCharType="begin"/>
      </w:r>
      <w:r>
        <w:rPr>
          <w:sz w:val="28"/>
          <w:szCs w:val="28"/>
        </w:rPr>
        <w:instrText xml:space="preserve"> HYPERLINK "https://doi.org/10.1109/RE.2009.33" </w:instrText>
      </w:r>
      <w:r>
        <w:rPr>
          <w:sz w:val="28"/>
          <w:szCs w:val="28"/>
        </w:rPr>
        <w:fldChar w:fldCharType="separate"/>
      </w:r>
      <w:r>
        <w:rPr>
          <w:sz w:val="28"/>
          <w:szCs w:val="28"/>
        </w:rPr>
        <w:t>10.1109/RE.2009.33</w:t>
      </w:r>
      <w:r>
        <w:rPr>
          <w:sz w:val="28"/>
          <w:szCs w:val="28"/>
        </w:rPr>
        <w:fldChar w:fldCharType="end"/>
      </w:r>
    </w:p>
    <w:p w14:paraId="76D2495E">
      <w:pPr>
        <w:rPr>
          <w:sz w:val="28"/>
          <w:szCs w:val="28"/>
        </w:rPr>
      </w:pPr>
    </w:p>
    <w:p w14:paraId="1EAEFFA2">
      <w:pPr>
        <w:rPr>
          <w:sz w:val="28"/>
          <w:szCs w:val="28"/>
        </w:rPr>
      </w:pPr>
      <w:r>
        <w:rPr>
          <w:sz w:val="28"/>
          <w:szCs w:val="28"/>
        </w:rPr>
        <w:t>2. 摘要（中文）</w:t>
      </w:r>
    </w:p>
    <w:p w14:paraId="7B8036DB">
      <w:pPr>
        <w:rPr>
          <w:sz w:val="28"/>
          <w:szCs w:val="28"/>
        </w:rPr>
      </w:pPr>
      <w:r>
        <w:rPr>
          <w:sz w:val="28"/>
          <w:szCs w:val="28"/>
        </w:rPr>
        <w:t>需求工程（RE）是一个相对年轻的学科，在过去的几十年中仍然取得了许多进展。特别是，已经提出了许多RE方法。然而，对评估可再生能源提案和声明的经验验证越来越关注。本文涉及功能需求规范的质量评估，重点关注完整性和粒度。为此，提出了与概念模型质量相关的几个概念；这些概念导致了度量标准的定义</w:t>
      </w:r>
    </w:p>
    <w:p w14:paraId="0CCEE075">
      <w:pPr>
        <w:rPr>
          <w:sz w:val="28"/>
          <w:szCs w:val="28"/>
        </w:rPr>
      </w:pPr>
    </w:p>
    <w:p w14:paraId="5BD05D91">
      <w:pPr>
        <w:rPr>
          <w:sz w:val="28"/>
          <w:szCs w:val="28"/>
        </w:rPr>
      </w:pPr>
      <w:r>
        <w:rPr>
          <w:sz w:val="28"/>
          <w:szCs w:val="28"/>
        </w:rPr>
        <w:t>3. 总结文章是如何评审需求的</w:t>
      </w:r>
      <w:r>
        <w:rPr>
          <w:rFonts w:hint="eastAsia"/>
          <w:sz w:val="28"/>
          <w:szCs w:val="28"/>
          <w:lang w:val="en-US" w:eastAsia="zh-CN"/>
        </w:rPr>
        <w:t>质量</w:t>
      </w:r>
      <w:r>
        <w:rPr>
          <w:sz w:val="28"/>
          <w:szCs w:val="28"/>
        </w:rPr>
        <w:t>？</w:t>
      </w:r>
    </w:p>
    <w:p w14:paraId="17307494">
      <w:pPr>
        <w:rPr>
          <w:sz w:val="28"/>
          <w:szCs w:val="28"/>
        </w:rPr>
      </w:pPr>
      <w:r>
        <w:rPr>
          <w:sz w:val="28"/>
          <w:szCs w:val="28"/>
        </w:rPr>
        <w:t>（1）用什么评估：一位专家评审员使用参考模型和单位标准来帮助他更正 RS 模型</w:t>
      </w:r>
    </w:p>
    <w:p w14:paraId="41855423">
      <w:pPr>
        <w:rPr>
          <w:sz w:val="28"/>
          <w:szCs w:val="28"/>
        </w:rPr>
      </w:pPr>
      <w:r>
        <w:rPr>
          <w:sz w:val="28"/>
          <w:szCs w:val="28"/>
        </w:rPr>
        <w:t>（2）完整性评估的研究问题：</w:t>
      </w:r>
    </w:p>
    <w:p w14:paraId="7D53E0E1">
      <w:pPr>
        <w:rPr>
          <w:sz w:val="28"/>
          <w:szCs w:val="28"/>
        </w:rPr>
      </w:pPr>
      <w:r>
        <w:rPr>
          <w:sz w:val="28"/>
          <w:szCs w:val="28"/>
          <w:lang w:val="en-US" w:eastAsia="zh-CN"/>
        </w:rPr>
        <w:t xml:space="preserve">RQ1: Will the subjects applying Communication </w:t>
      </w:r>
    </w:p>
    <w:p w14:paraId="018C7C4F">
      <w:pPr>
        <w:rPr>
          <w:sz w:val="28"/>
          <w:szCs w:val="28"/>
        </w:rPr>
      </w:pPr>
      <w:r>
        <w:rPr>
          <w:rFonts w:hint="default"/>
          <w:sz w:val="28"/>
          <w:szCs w:val="28"/>
          <w:lang w:val="en-US" w:eastAsia="zh-CN"/>
        </w:rPr>
        <w:t xml:space="preserve">Analysis produce functional RS with higher degree of </w:t>
      </w:r>
    </w:p>
    <w:p w14:paraId="4043DCCD">
      <w:pPr>
        <w:rPr>
          <w:rFonts w:hint="default"/>
          <w:sz w:val="28"/>
          <w:szCs w:val="28"/>
          <w:lang w:val="en-US" w:eastAsia="zh-CN"/>
        </w:rPr>
      </w:pPr>
      <w:r>
        <w:rPr>
          <w:rFonts w:hint="default"/>
          <w:sz w:val="28"/>
          <w:szCs w:val="28"/>
          <w:lang w:val="en-US" w:eastAsia="zh-CN"/>
        </w:rPr>
        <w:t xml:space="preserve">completeness than the subjects applying Use Cases? </w:t>
      </w:r>
    </w:p>
    <w:p w14:paraId="4982D326">
      <w:pPr>
        <w:rPr>
          <w:rFonts w:hint="default"/>
          <w:sz w:val="28"/>
          <w:szCs w:val="28"/>
          <w:lang w:val="en-US" w:eastAsia="zh-CN"/>
        </w:rPr>
      </w:pPr>
      <w:r>
        <w:rPr>
          <w:rFonts w:hint="default"/>
          <w:sz w:val="28"/>
          <w:szCs w:val="28"/>
          <w:lang w:val="en-US" w:eastAsia="zh-CN"/>
        </w:rPr>
        <w:t>应用沟通分析的主体是否会产生比应用用例的主体具有更高完备程度的功能性RS ？</w:t>
      </w:r>
    </w:p>
    <w:p w14:paraId="27783D80">
      <w:pPr>
        <w:rPr>
          <w:rFonts w:hint="default"/>
          <w:sz w:val="28"/>
          <w:szCs w:val="28"/>
          <w:lang w:val="en-US" w:eastAsia="zh-CN"/>
        </w:rPr>
      </w:pPr>
    </w:p>
    <w:p w14:paraId="406C2517">
      <w:pPr>
        <w:rPr>
          <w:sz w:val="28"/>
          <w:szCs w:val="28"/>
        </w:rPr>
      </w:pPr>
      <w:r>
        <w:rPr>
          <w:rFonts w:hint="default"/>
          <w:sz w:val="28"/>
          <w:szCs w:val="28"/>
          <w:lang w:val="en-US" w:eastAsia="zh-CN"/>
        </w:rPr>
        <w:t xml:space="preserve">RQ2: Will the subjects applying Communication </w:t>
      </w:r>
    </w:p>
    <w:p w14:paraId="5DAFF5CB">
      <w:pPr>
        <w:rPr>
          <w:sz w:val="28"/>
          <w:szCs w:val="28"/>
        </w:rPr>
      </w:pPr>
      <w:r>
        <w:rPr>
          <w:rFonts w:hint="default"/>
          <w:sz w:val="28"/>
          <w:szCs w:val="28"/>
          <w:lang w:val="en-US" w:eastAsia="zh-CN"/>
        </w:rPr>
        <w:t xml:space="preserve">Analysis produce functional RS with a more </w:t>
      </w:r>
    </w:p>
    <w:p w14:paraId="2B94AC48">
      <w:pPr>
        <w:rPr>
          <w:sz w:val="28"/>
          <w:szCs w:val="28"/>
        </w:rPr>
      </w:pPr>
      <w:r>
        <w:rPr>
          <w:rFonts w:hint="default"/>
          <w:sz w:val="28"/>
          <w:szCs w:val="28"/>
          <w:lang w:val="en-US" w:eastAsia="zh-CN"/>
        </w:rPr>
        <w:t xml:space="preserve">appropriate level of granularity than the subjects </w:t>
      </w:r>
    </w:p>
    <w:p w14:paraId="11F65183">
      <w:pPr>
        <w:rPr>
          <w:rFonts w:hint="default"/>
          <w:sz w:val="28"/>
          <w:szCs w:val="28"/>
          <w:lang w:val="en-US" w:eastAsia="zh-CN"/>
        </w:rPr>
      </w:pPr>
      <w:r>
        <w:rPr>
          <w:rFonts w:hint="default"/>
          <w:sz w:val="28"/>
          <w:szCs w:val="28"/>
          <w:lang w:val="en-US" w:eastAsia="zh-CN"/>
        </w:rPr>
        <w:t>applying Use Cases</w:t>
      </w:r>
    </w:p>
    <w:p w14:paraId="18C91337">
      <w:pPr>
        <w:rPr>
          <w:rFonts w:hint="default"/>
          <w:sz w:val="28"/>
          <w:szCs w:val="28"/>
          <w:lang w:val="en-US" w:eastAsia="zh-CN"/>
        </w:rPr>
      </w:pPr>
      <w:r>
        <w:rPr>
          <w:rFonts w:hint="default"/>
          <w:sz w:val="28"/>
          <w:szCs w:val="28"/>
          <w:lang w:val="en-US" w:eastAsia="zh-CN"/>
        </w:rPr>
        <w:t>应用沟通分析的主体会产生比应用用例的主体更合适粒度级别的功能性RS吗</w:t>
      </w:r>
    </w:p>
    <w:p w14:paraId="51910BAA">
      <w:pPr>
        <w:rPr>
          <w:sz w:val="28"/>
          <w:szCs w:val="28"/>
        </w:rPr>
      </w:pPr>
      <w:r>
        <w:rPr>
          <w:sz w:val="28"/>
          <w:szCs w:val="28"/>
        </w:rPr>
        <w:t xml:space="preserve"> </w:t>
      </w:r>
    </w:p>
    <w:p w14:paraId="38FD15DC">
      <w:pPr>
        <w:rPr>
          <w:sz w:val="28"/>
          <w:szCs w:val="28"/>
        </w:rPr>
      </w:pPr>
      <w:r>
        <w:rPr>
          <w:sz w:val="28"/>
          <w:szCs w:val="28"/>
        </w:rPr>
        <w:t xml:space="preserve">（3）评估对象：功能需求，使用了功能需求规范（RS）的实际需求文档。 </w:t>
      </w:r>
    </w:p>
    <w:p w14:paraId="641E5750">
      <w:pPr>
        <w:rPr>
          <w:sz w:val="28"/>
          <w:szCs w:val="28"/>
        </w:rPr>
      </w:pPr>
      <w:r>
        <w:rPr>
          <w:sz w:val="28"/>
          <w:szCs w:val="28"/>
        </w:rPr>
        <w:t>（4）完整性评估指标及明确的指标定义：</w:t>
      </w:r>
    </w:p>
    <w:p w14:paraId="2A908091">
      <w:pPr>
        <w:rPr>
          <w:rFonts w:hint="eastAsia"/>
          <w:sz w:val="28"/>
          <w:szCs w:val="28"/>
          <w:lang w:val="en-US" w:eastAsia="zh-CN"/>
        </w:rPr>
      </w:pPr>
      <w:r>
        <w:rPr>
          <w:rFonts w:hint="eastAsia"/>
          <w:sz w:val="28"/>
          <w:szCs w:val="28"/>
          <w:lang w:val="en-US" w:eastAsia="zh-CN"/>
        </w:rPr>
        <w:t>1.功能封装完整性（Degree of Functional Encapsulations Completeness, degFEC）</w:t>
      </w:r>
    </w:p>
    <w:p w14:paraId="303688A1">
      <w:pPr>
        <w:rPr>
          <w:rFonts w:hint="eastAsia"/>
          <w:sz w:val="28"/>
          <w:szCs w:val="28"/>
          <w:lang w:val="en-US" w:eastAsia="zh-CN"/>
        </w:rPr>
      </w:pPr>
      <w:r>
        <w:rPr>
          <w:rFonts w:hint="eastAsia"/>
          <w:sz w:val="28"/>
          <w:szCs w:val="28"/>
          <w:lang w:val="en-US" w:eastAsia="zh-CN"/>
        </w:rPr>
        <w:t>定义：功能封装完整性是指在模型中指定的所有功能需求是否包括在参考模型中</w:t>
      </w:r>
    </w:p>
    <w:p w14:paraId="50939341">
      <w:pPr>
        <w:rPr>
          <w:rFonts w:hint="eastAsia"/>
          <w:sz w:val="28"/>
          <w:szCs w:val="28"/>
          <w:lang w:val="en-US" w:eastAsia="zh-CN"/>
        </w:rPr>
      </w:pPr>
      <w:r>
        <w:rPr>
          <w:rFonts w:hint="eastAsia"/>
          <w:sz w:val="28"/>
          <w:szCs w:val="28"/>
          <w:lang w:val="en-US" w:eastAsia="zh-CN"/>
        </w:rPr>
        <w:t>2.关联通信完整性（Degree of Linked Communications Completeness, degLCC）</w:t>
      </w:r>
    </w:p>
    <w:p w14:paraId="728E1655">
      <w:pPr>
        <w:rPr>
          <w:rFonts w:hint="eastAsia"/>
          <w:sz w:val="28"/>
          <w:szCs w:val="28"/>
          <w:lang w:val="en-US" w:eastAsia="zh-CN"/>
        </w:rPr>
      </w:pPr>
      <w:r>
        <w:rPr>
          <w:rFonts w:hint="eastAsia"/>
          <w:sz w:val="28"/>
          <w:szCs w:val="28"/>
          <w:lang w:val="en-US" w:eastAsia="zh-CN"/>
        </w:rPr>
        <w:t>定义：关联通信完整性是指在模型中指定的所有关联通信是否包括在参考模型中</w:t>
      </w:r>
    </w:p>
    <w:p w14:paraId="3AEB9BE9">
      <w:pPr>
        <w:rPr>
          <w:sz w:val="28"/>
          <w:szCs w:val="28"/>
        </w:rPr>
      </w:pPr>
      <w:r>
        <w:rPr>
          <w:sz w:val="28"/>
          <w:szCs w:val="28"/>
        </w:rPr>
        <w:t xml:space="preserve"> </w:t>
      </w:r>
    </w:p>
    <w:p w14:paraId="7000AF41">
      <w:pPr>
        <w:rPr>
          <w:rFonts w:hint="eastAsia"/>
          <w:sz w:val="28"/>
          <w:szCs w:val="28"/>
          <w:lang w:val="en-US" w:eastAsia="zh-CN"/>
        </w:rPr>
      </w:pPr>
      <w:r>
        <w:rPr>
          <w:rFonts w:hint="eastAsia"/>
          <w:sz w:val="28"/>
          <w:szCs w:val="28"/>
          <w:lang w:val="en-US" w:eastAsia="zh-CN"/>
        </w:rPr>
        <w:t>3.功能碎片错误（Functional Fragmentation Error, errFra）</w:t>
      </w:r>
    </w:p>
    <w:p w14:paraId="6CB5DE8F">
      <w:pPr>
        <w:rPr>
          <w:rFonts w:hint="eastAsia"/>
          <w:sz w:val="28"/>
          <w:szCs w:val="28"/>
          <w:lang w:val="en-US" w:eastAsia="zh-CN"/>
        </w:rPr>
      </w:pPr>
      <w:r>
        <w:rPr>
          <w:rFonts w:hint="eastAsia"/>
          <w:sz w:val="28"/>
          <w:szCs w:val="28"/>
          <w:lang w:val="en-US" w:eastAsia="zh-CN"/>
        </w:rPr>
        <w:t>定义：功能碎片错误是指将某一领域的两个或多个功能封装建模为多个封装，而根据统一标准，应建模为单一封装</w:t>
      </w:r>
    </w:p>
    <w:p w14:paraId="2F7A4B0B">
      <w:pPr>
        <w:rPr>
          <w:sz w:val="28"/>
          <w:szCs w:val="28"/>
          <w:lang w:val="en-US" w:eastAsia="zh-CN"/>
        </w:rPr>
      </w:pPr>
    </w:p>
    <w:p w14:paraId="59CE2CF2">
      <w:pPr>
        <w:rPr>
          <w:sz w:val="28"/>
          <w:szCs w:val="28"/>
          <w:lang w:val="en-US" w:eastAsia="zh-CN"/>
        </w:rPr>
      </w:pPr>
    </w:p>
    <w:p w14:paraId="26791FF2">
      <w:pPr>
        <w:rPr>
          <w:rFonts w:hint="eastAsia"/>
          <w:sz w:val="28"/>
          <w:szCs w:val="28"/>
          <w:lang w:val="en-US" w:eastAsia="zh-CN"/>
        </w:rPr>
      </w:pPr>
      <w:r>
        <w:rPr>
          <w:rFonts w:hint="eastAsia"/>
          <w:sz w:val="28"/>
          <w:szCs w:val="28"/>
          <w:lang w:val="en-US" w:eastAsia="zh-CN"/>
        </w:rPr>
        <w:t>4.功能聚合错误（Functional Aggregation Error, errAgg）</w:t>
      </w:r>
    </w:p>
    <w:p w14:paraId="40CDC264">
      <w:pPr>
        <w:rPr>
          <w:rFonts w:hint="eastAsia"/>
          <w:sz w:val="28"/>
          <w:szCs w:val="28"/>
          <w:lang w:val="en-US" w:eastAsia="zh-CN"/>
        </w:rPr>
      </w:pPr>
      <w:r>
        <w:rPr>
          <w:rFonts w:hint="eastAsia"/>
          <w:sz w:val="28"/>
          <w:szCs w:val="28"/>
          <w:lang w:val="en-US" w:eastAsia="zh-CN"/>
        </w:rPr>
        <w:t>定义：功能聚合错误是指将某一领域建模为一个功能封装时，根据统一标准，实际上应使用两个或多个封装进行建模</w:t>
      </w:r>
    </w:p>
    <w:p w14:paraId="779FD766">
      <w:pPr>
        <w:rPr>
          <w:sz w:val="28"/>
          <w:szCs w:val="28"/>
        </w:rPr>
      </w:pPr>
    </w:p>
    <w:p w14:paraId="0C1ABAED">
      <w:pPr>
        <w:rPr>
          <w:sz w:val="28"/>
          <w:szCs w:val="28"/>
        </w:rPr>
      </w:pPr>
    </w:p>
    <w:p w14:paraId="0AEE1ACE">
      <w:pPr>
        <w:numPr>
          <w:ilvl w:val="0"/>
          <w:numId w:val="1"/>
        </w:numPr>
        <w:rPr>
          <w:sz w:val="28"/>
          <w:szCs w:val="28"/>
        </w:rPr>
      </w:pPr>
      <w:r>
        <w:rPr>
          <w:sz w:val="28"/>
          <w:szCs w:val="28"/>
        </w:rPr>
        <w:t>数据集来源：从</w:t>
      </w:r>
      <w:r>
        <w:rPr>
          <w:rFonts w:hint="eastAsia"/>
          <w:sz w:val="28"/>
          <w:szCs w:val="28"/>
          <w:lang w:val="en-US" w:eastAsia="zh-CN"/>
        </w:rPr>
        <w:t>两轮实验</w:t>
      </w:r>
      <w:r>
        <w:rPr>
          <w:sz w:val="28"/>
          <w:szCs w:val="28"/>
        </w:rPr>
        <w:t>中收集的功能需求规范</w:t>
      </w:r>
    </w:p>
    <w:p w14:paraId="3EAEBC2C">
      <w:pPr>
        <w:numPr>
          <w:ilvl w:val="0"/>
          <w:numId w:val="0"/>
        </w:numPr>
        <w:rPr>
          <w:rFonts w:hint="default" w:eastAsiaTheme="minorEastAsia"/>
          <w:sz w:val="28"/>
          <w:szCs w:val="28"/>
          <w:lang w:val="en-US" w:eastAsia="zh-CN"/>
        </w:rPr>
      </w:pPr>
      <w:r>
        <w:rPr>
          <w:sz w:val="28"/>
          <w:szCs w:val="28"/>
        </w:rPr>
        <w:t>（6）评估方法：</w:t>
      </w:r>
      <w:r>
        <w:rPr>
          <w:rFonts w:hint="default"/>
          <w:sz w:val="28"/>
          <w:szCs w:val="28"/>
        </w:rPr>
        <w:t>Kolmogorov-Smirnov</w:t>
      </w:r>
      <w:r>
        <w:rPr>
          <w:rFonts w:hint="eastAsia"/>
          <w:sz w:val="28"/>
          <w:szCs w:val="28"/>
          <w:lang w:val="en-US" w:eastAsia="zh-CN"/>
        </w:rPr>
        <w:t>检验和</w:t>
      </w:r>
      <w:r>
        <w:rPr>
          <w:rFonts w:hint="default"/>
          <w:sz w:val="28"/>
          <w:szCs w:val="28"/>
        </w:rPr>
        <w:t>Wilcoxon 符号秩非参数检验</w:t>
      </w:r>
    </w:p>
    <w:p w14:paraId="5153CB3D">
      <w:pPr>
        <w:rPr>
          <w:sz w:val="28"/>
          <w:szCs w:val="28"/>
        </w:rPr>
      </w:pPr>
      <w:r>
        <w:rPr>
          <w:sz w:val="28"/>
          <w:szCs w:val="28"/>
        </w:rPr>
        <w:t>（7）评估的结果：</w:t>
      </w:r>
    </w:p>
    <w:p w14:paraId="4A7BFEB1">
      <w:pPr>
        <w:rPr>
          <w:sz w:val="28"/>
          <w:szCs w:val="28"/>
        </w:rPr>
      </w:pPr>
      <w:r>
        <w:rPr>
          <w:sz w:val="28"/>
          <w:szCs w:val="28"/>
        </w:rPr>
        <w:t>通过分析，沟通分析方法在功能完整性方面得分为 81%，链接通讯完整性达 75.64%；用例图的得分分别为 50.46% 和 50.46%。</w:t>
      </w:r>
    </w:p>
    <w:p w14:paraId="6E361A65">
      <w:pPr>
        <w:rPr>
          <w:sz w:val="28"/>
          <w:szCs w:val="28"/>
        </w:rPr>
      </w:pPr>
      <w:r>
        <w:rPr>
          <w:sz w:val="28"/>
          <w:szCs w:val="28"/>
        </w:rPr>
        <w:t>结果表明，沟通分析方法显著优于用例方法，在完整性和颗粒度方面表现更佳。</w:t>
      </w:r>
    </w:p>
    <w:p w14:paraId="270F1751">
      <w:pPr>
        <w:rPr>
          <w:sz w:val="28"/>
          <w:szCs w:val="28"/>
        </w:rPr>
      </w:pPr>
    </w:p>
    <w:p w14:paraId="6C7B606C"/>
    <w:p w14:paraId="0E18AC6C">
      <w:pPr>
        <w:rPr>
          <w:rFonts w:hint="default"/>
        </w:rPr>
      </w:pPr>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Poppins-Medium">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Segoe UI">
    <w:panose1 w:val="020B0502040204020203"/>
    <w:charset w:val="00"/>
    <w:family w:val="auto"/>
    <w:pitch w:val="default"/>
    <w:sig w:usb0="E4002EFF" w:usb1="C000E47F" w:usb2="00000009" w:usb3="00000000" w:csb0="200001FF" w:csb1="00000000"/>
  </w:font>
  <w:font w:name="PingFang-SC-Regular">
    <w:altName w:val="Segoe Print"/>
    <w:panose1 w:val="00000000000000000000"/>
    <w:charset w:val="00"/>
    <w:family w:val="auto"/>
    <w:pitch w:val="default"/>
    <w:sig w:usb0="00000000" w:usb1="00000000" w:usb2="00000000" w:usb3="00000000" w:csb0="00000000" w:csb1="00000000"/>
  </w:font>
  <w:font w:name="Georgia">
    <w:panose1 w:val="02040502050405020303"/>
    <w:charset w:val="00"/>
    <w:family w:val="auto"/>
    <w:pitch w:val="default"/>
    <w:sig w:usb0="00000287" w:usb1="00000000" w:usb2="00000000" w:usb3="00000000" w:csb0="2000009F" w:csb1="00000000"/>
  </w:font>
  <w:font w:name="Symbol">
    <w:panose1 w:val="05050102010706020507"/>
    <w:charset w:val="00"/>
    <w:family w:val="auto"/>
    <w:pitch w:val="default"/>
    <w:sig w:usb0="00000000" w:usb1="00000000" w:usb2="00000000" w:usb3="00000000" w:csb0="80000000" w:csb1="00000000"/>
  </w:font>
  <w:font w:name="MathJax_Main">
    <w:altName w:val="Segoe Print"/>
    <w:panose1 w:val="00000000000000000000"/>
    <w:charset w:val="00"/>
    <w:family w:val="auto"/>
    <w:pitch w:val="default"/>
    <w:sig w:usb0="00000000" w:usb1="00000000" w:usb2="00000000" w:usb3="00000000" w:csb0="00000000" w:csb1="00000000"/>
  </w:font>
  <w:font w:name="Times-Bold">
    <w:altName w:val="Segoe Print"/>
    <w:panose1 w:val="00000000000000000000"/>
    <w:charset w:val="00"/>
    <w:family w:val="auto"/>
    <w:pitch w:val="default"/>
    <w:sig w:usb0="00000000" w:usb1="00000000" w:usb2="00000000" w:usb3="00000000" w:csb0="00000000" w:csb1="00000000"/>
  </w:font>
  <w:font w:name="Times-Roman">
    <w:altName w:val="Times New Roman"/>
    <w:panose1 w:val="00000000000000000000"/>
    <w:charset w:val="00"/>
    <w:family w:val="auto"/>
    <w:pitch w:val="default"/>
    <w:sig w:usb0="00000000" w:usb1="00000000" w:usb2="00000000" w:usb3="00000000" w:csb0="00000000" w:csb1="00000000"/>
  </w:font>
  <w:font w:name="Times-Italic">
    <w:altName w:val="Segoe Print"/>
    <w:panose1 w:val="00000000000000000000"/>
    <w:charset w:val="00"/>
    <w:family w:val="auto"/>
    <w:pitch w:val="default"/>
    <w:sig w:usb0="00000000" w:usb1="00000000" w:usb2="00000000" w:usb3="00000000" w:csb0="0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8EED115"/>
    <w:multiLevelType w:val="singleLevel"/>
    <w:tmpl w:val="08EED115"/>
    <w:lvl w:ilvl="0" w:tentative="0">
      <w:start w:val="5"/>
      <w:numFmt w:val="decimal"/>
      <w:suff w:val="nothing"/>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2"/>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18753DE0"/>
    <w:rsid w:val="3D4F7D65"/>
    <w:rsid w:val="4C8309D2"/>
    <w:rsid w:val="5AB27FF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5">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3">
    <w:name w:val="Normal (Web)"/>
    <w:basedOn w:val="1"/>
    <w:qFormat/>
    <w:uiPriority w:val="0"/>
    <w:pPr>
      <w:spacing w:before="0" w:beforeAutospacing="1" w:after="0" w:afterAutospacing="1"/>
      <w:ind w:left="0" w:right="0"/>
      <w:jc w:val="left"/>
    </w:pPr>
    <w:rPr>
      <w:kern w:val="0"/>
      <w:sz w:val="24"/>
      <w:lang w:val="en-US" w:eastAsia="zh-CN" w:bidi="ar"/>
    </w:rPr>
  </w:style>
  <w:style w:type="character" w:styleId="6">
    <w:name w:val="Strong"/>
    <w:basedOn w:val="5"/>
    <w:qFormat/>
    <w:uiPriority w:val="0"/>
    <w:rPr>
      <w:b/>
    </w:rPr>
  </w:style>
  <w:style w:type="character" w:styleId="7">
    <w:name w:val="Hyperlink"/>
    <w:basedOn w:val="5"/>
    <w:qFormat/>
    <w:uiPriority w:val="0"/>
    <w:rPr>
      <w:color w:val="0000FF"/>
      <w:u w:val="single"/>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579</Words>
  <Characters>840</Characters>
  <Lines>0</Lines>
  <Paragraphs>0</Paragraphs>
  <TotalTime>23</TotalTime>
  <ScaleCrop>false</ScaleCrop>
  <LinksUpToDate>false</LinksUpToDate>
  <CharactersWithSpaces>880</CharactersWithSpaces>
  <Application>WPS Office_12.1.0.20784_F1E327BC-269C-435d-A152-05C5408002CA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2025-04-09T05:43:00Z</dcterms:created>
  <dc:creator>15157</dc:creator>
  <cp:lastModifiedBy>吕晨</cp:lastModifiedBy>
  <dcterms:modified xsi:type="dcterms:W3CDTF">2025-04-14T11:13:04Z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2052-12.1.0.20784</vt:lpwstr>
  </property>
  <property fmtid="{D5CDD505-2E9C-101B-9397-08002B2CF9AE}" pid="3" name="KSOTemplateDocerSaveRecord">
    <vt:lpwstr>eyJoZGlkIjoiNjA1ZWE4YzEwZDYxMWNiZjg3NTA3NWFiYjRiYTU2NGYiLCJ1c2VySWQiOiIzMzU2NDY3MDUifQ==</vt:lpwstr>
  </property>
  <property fmtid="{D5CDD505-2E9C-101B-9397-08002B2CF9AE}" pid="4" name="ICV">
    <vt:lpwstr>5A7B7E5058B84E65BB5F46BC889AF044_12</vt:lpwstr>
  </property>
</Properties>
</file>