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Ecnu-reasoner-Full-Evaluation-01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根据需求规约说明书的内容定义，对第三章20个功能点进行完整性分析如下：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\boxed{全部20个功能点均为完整引用}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**分析依据**：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**输入输出闭环性**：所有功能点的输入参数（如UserID、RestaurantID、DishID等）均能在文档的术语定义（1.4节）或功能需求描述中找到明确定义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**数据实体完整性**：涉及的11个核心实体（用户、餐厅、菜品等）均已在ER模型定义中完整覆盖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**流程自洽性**：各功能点的操作流（如FR-04购物车→FR-05订单生成）未引用外部未定义的流程节点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**数据流验证**：跨功能点的数据传递（如FR-06支付记录→FR-16异常处理）均通过文档定义的接口规范实现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**关键验证点**：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支付系统使用的TransactionID在FR-06中明确定义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库存校验的替代菜品推荐逻辑在FR-11输出中闭环实现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数据归档策略的保留周期（24个月）在FR-</w:t>
      </w:r>
      <w:bookmarkStart w:id="0" w:name="_GoBack"/>
      <w:bookmarkEnd w:id="0"/>
      <w:r>
        <w:rPr>
          <w:rFonts w:hint="default"/>
          <w:lang w:val="en-US" w:eastAsia="zh-CN"/>
        </w:rPr>
        <w:t>13输入参数中明确约束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设备类型参数在4.1用户接口章节有明确定义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所有功能需求均满足"不引用外部未定义元素"的完整性要求，符合IEEE 830-1998标准第4.3节关于功能需求完整性的定义。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EC4DE"/>
    <w:rsid w:val="FDDEC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2025-04-01T11:48:00Z</dcterms:created>
  <dc:creator>吴</dc:creator>
  <cp:lastModifiedBy>吴</cp:lastModifiedBy>
  <dcterms:modified xsi:type="dcterms:W3CDTF">2025-04-01T11:49:07Z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14B236EDB3CB1F8EFD61EB67A2310557_41</vt:lpwstr>
  </property>
</Properties>
</file>