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816B1C">
      <w:pPr>
        <w:pStyle w:val="32"/>
      </w:pPr>
      <w:r>
        <w:t>评估文档</w:t>
      </w:r>
    </w:p>
    <w:tbl>
      <w:tblPr>
        <w:tblW w:w="0" w:type="auto"/>
        <w:tblInd w:w="0" w:type="dxa"/>
        <w:tblBorders>
          <w:top w:val="single" w:color="D8DEE4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1"/>
        <w:gridCol w:w="1965"/>
        <w:gridCol w:w="1286"/>
        <w:gridCol w:w="4718"/>
      </w:tblGrid>
      <w:tr w14:paraId="64FF9C29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B4E5C43"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功能编号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C90DF4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功能名称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9B7F10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是否完整引用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3EB4A7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评判理由</w:t>
            </w:r>
          </w:p>
        </w:tc>
      </w:tr>
      <w:tr w14:paraId="13B53E5D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EE71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29681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资产登记功能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20D7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D276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输入输出均在文档中定义（资产信息字段、数据库存储、邮件接口）</w:t>
            </w:r>
          </w:p>
        </w:tc>
      </w:tr>
      <w:tr w14:paraId="6207D142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FF9AB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6D45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资产信息修改功能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3D07B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60F35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输入输出与FR-01一致，引用已定义的数据库和邮件接口</w:t>
            </w:r>
          </w:p>
        </w:tc>
      </w:tr>
      <w:tr w14:paraId="4BA1E153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30E96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99300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资产查询功能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CCFBE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2B39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查询条件和输出字段在用例UC-03中明确定义</w:t>
            </w:r>
          </w:p>
        </w:tc>
      </w:tr>
      <w:tr w14:paraId="318642AC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11565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346E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资产转移功能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7B283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C557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接收方信息在UC-04定义，引用已定义的审批流程和邮件接口</w:t>
            </w:r>
          </w:p>
        </w:tc>
      </w:tr>
      <w:tr w14:paraId="67DDDE27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B7B9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4F8D1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资产归还功能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1D2BA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CE22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与FR-04同理，流程要素在UC-05中明确定义</w:t>
            </w:r>
          </w:p>
        </w:tc>
      </w:tr>
      <w:tr w14:paraId="2D4F6988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79CA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31B9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资产删除功能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18BF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E70C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删除流程在UC-06完整定义，引用已定义的审批机制</w:t>
            </w:r>
          </w:p>
        </w:tc>
      </w:tr>
      <w:tr w14:paraId="0D1C9A80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7068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5737E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用户新增功能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C785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1461C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"角色"字段未在文档中明确定义类型和范围</w:t>
            </w:r>
          </w:p>
        </w:tc>
      </w:tr>
      <w:tr w14:paraId="4F20F577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76056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B4028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用户资料修改功能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5825D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CDC41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修改字段在UC-08中明确定义，引用已定义的审核流程</w:t>
            </w:r>
          </w:p>
        </w:tc>
      </w:tr>
      <w:tr w14:paraId="1FDF71CC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8FF5D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FR-09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6BE1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用户权限分配功能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314DD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444BF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"权限名称"未在文档中定义具体权限类型和范围</w:t>
            </w:r>
          </w:p>
        </w:tc>
      </w:tr>
      <w:tr w14:paraId="73DB74BF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9578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FR-10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2B049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审批流程提交功能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162F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3F339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流程类型在多个用例中定义，引用已定义的审批机制</w:t>
            </w:r>
          </w:p>
        </w:tc>
      </w:tr>
      <w:tr w14:paraId="00E4C9EC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21B48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B8D40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审批流程查看功能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BD978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1DC72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状态类型在UC-11/UC-12中明确定义</w:t>
            </w:r>
          </w:p>
        </w:tc>
      </w:tr>
      <w:tr w14:paraId="7EE8E2C5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1F40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41233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审批请求处理功能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F5C73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B69C6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处理结果类型在UC-13中明确定义</w:t>
            </w:r>
          </w:p>
        </w:tc>
      </w:tr>
      <w:tr w14:paraId="4A5BDE77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7EC95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2E5B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资产报表导出功能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55F74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44B40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报表格式在4.3.2文件接口中定义</w:t>
            </w:r>
          </w:p>
        </w:tc>
      </w:tr>
      <w:tr w14:paraId="6A8A22D3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A3F29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C6155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资产数据导入功能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69574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C4EA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文件格式在4.3.2接口定义，字段与FR-01一致</w:t>
            </w:r>
          </w:p>
        </w:tc>
      </w:tr>
      <w:tr w14:paraId="52EA031B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BD3C3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DDC0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管理员操作记录查看功能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3D92D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A971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"操作类型"未在文档中定义具体分类</w:t>
            </w:r>
          </w:p>
        </w:tc>
      </w:tr>
      <w:tr w14:paraId="3252B95A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6FFE0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0368D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邮件发送功能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D56DB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732989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邮件要素在4.4.1接口完整定义</w:t>
            </w:r>
          </w:p>
        </w:tc>
      </w:tr>
      <w:tr w14:paraId="239945E2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B285C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8DE9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邮件查看功能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93B2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5783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查询条件和展示要素在UC-19中明确定义</w:t>
            </w:r>
          </w:p>
        </w:tc>
      </w:tr>
    </w:tbl>
    <w:p w14:paraId="7343B3B2">
      <w:pPr>
        <w:pStyle w:val="30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</w:pPr>
      <w:r>
        <w:rPr>
          <w:rStyle w:val="134"/>
          <w:rFonts w:hint="default" w:ascii="Helvetica" w:hAnsi="Helvetica" w:eastAsia="Helvetica" w:cs="Helvetica"/>
          <w:b/>
          <w:bCs/>
          <w:i w:val="0"/>
          <w:iCs w:val="0"/>
          <w:caps w:val="0"/>
          <w:color w:val="393939"/>
          <w:spacing w:val="0"/>
          <w:sz w:val="21"/>
          <w:szCs w:val="21"/>
          <w:shd w:val="clear" w:fill="FFFFFF"/>
        </w:rPr>
        <w:t>不完整引用说明：</w:t>
      </w:r>
    </w:p>
    <w:p w14:paraId="28EA66EE">
      <w:pPr>
        <w:pStyle w:val="30"/>
        <w:keepNext w:val="0"/>
        <w:keepLines w:val="0"/>
        <w:widowControl/>
        <w:suppressLineNumbers w:val="0"/>
        <w:spacing w:before="240" w:beforeAutospacing="0" w:after="240" w:afterAutospacing="0"/>
        <w:ind w:left="7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FR-07/FR-09/FR-15 涉及未定义的元数据：</w:t>
      </w:r>
    </w:p>
    <w:p w14:paraId="6CE237E7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"角色"类型（如管理员/普通用户等）未在文档中定义</w:t>
      </w:r>
    </w:p>
    <w:p w14:paraId="4EE9E039">
      <w:pPr>
        <w:keepNext w:val="0"/>
        <w:keepLines w:val="0"/>
        <w:widowControl/>
        <w:numPr>
          <w:ilvl w:val="1"/>
          <w:numId w:val="7"/>
        </w:numPr>
        <w:suppressLineNumbers w:val="0"/>
        <w:spacing w:before="53" w:beforeAutospacing="0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"权限名称"未列出具体权限清单（如"资产编辑"、"用户管理"等）</w:t>
      </w:r>
    </w:p>
    <w:p w14:paraId="795C0F2B">
      <w:pPr>
        <w:keepNext w:val="0"/>
        <w:keepLines w:val="0"/>
        <w:widowControl/>
        <w:numPr>
          <w:ilvl w:val="1"/>
          <w:numId w:val="7"/>
        </w:numPr>
        <w:suppressLineNumbers w:val="0"/>
        <w:spacing w:before="53" w:beforeAutospacing="0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"操作类型"未分类说明（如"新增"、"删除"、"修改"等）</w:t>
      </w:r>
    </w:p>
    <w:p w14:paraId="46D3E857">
      <w:pPr>
        <w:pStyle w:val="30"/>
        <w:keepNext w:val="0"/>
        <w:keepLines w:val="0"/>
        <w:widowControl/>
        <w:suppressLineNumbers w:val="0"/>
        <w:spacing w:before="240" w:beforeAutospacing="0" w:after="240" w:afterAutospacing="0"/>
        <w:ind w:left="7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其他功能点均满足：</w:t>
      </w:r>
    </w:p>
    <w:p w14:paraId="0ED50D5C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输入输出字段在用例模型或接口定义中可追溯</w:t>
      </w:r>
    </w:p>
    <w:p w14:paraId="3247292A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数据库操作通过4.3.1数据库接口统一说明</w:t>
      </w:r>
    </w:p>
    <w:p w14:paraId="16D975F8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邮件机制通过4.4.1邮件接口完整定义</w:t>
      </w:r>
    </w:p>
    <w:p w14:paraId="65FF03F8"/>
    <w:p w14:paraId="79E18413"/>
    <w:p w14:paraId="52F8D82F"/>
    <w:p w14:paraId="1F9EFADE"/>
    <w:tbl>
      <w:tblPr>
        <w:tblW w:w="0" w:type="auto"/>
        <w:tblInd w:w="0" w:type="dxa"/>
        <w:tblBorders>
          <w:top w:val="single" w:color="D8DEE4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45"/>
        <w:gridCol w:w="1897"/>
        <w:gridCol w:w="992"/>
        <w:gridCol w:w="5096"/>
      </w:tblGrid>
      <w:tr w14:paraId="1A870CDD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0935E1"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功能编号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F8F08A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功能名称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D5569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是否可行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7D58F5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评判理由</w:t>
            </w:r>
          </w:p>
        </w:tc>
      </w:tr>
      <w:tr w14:paraId="330C4080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734CF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31D0D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资产登记功能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8B876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382B6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输入包含所有必要资产属性，可通过数据库存储并触发邮件接口实现输出</w:t>
            </w:r>
          </w:p>
        </w:tc>
      </w:tr>
      <w:tr w14:paraId="2C85D873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53152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C347A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资产信息修改功能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211FD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C8AE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资产ID可定位目标记录，修改字段明确，符合数据库更新和通知流程</w:t>
            </w:r>
          </w:p>
        </w:tc>
      </w:tr>
      <w:tr w14:paraId="1762CD03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0C934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8A979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资产查询功能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7D8F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38BE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查询条件与输出字段明确，数据库检索可实现匹配结果展示</w:t>
            </w:r>
          </w:p>
        </w:tc>
      </w:tr>
      <w:tr w14:paraId="6691DB96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D299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5EFDD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资产转移功能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CB35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FC304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资产ID+接收方信息足以生成转移请求，系统可存储记录并触发审批通知</w:t>
            </w:r>
          </w:p>
        </w:tc>
      </w:tr>
      <w:tr w14:paraId="5E3FE962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A6813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21D7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资产归还功能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B0BD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7416D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资产ID+原因说明满足生成归还请求的基本要求</w:t>
            </w:r>
          </w:p>
        </w:tc>
      </w:tr>
      <w:tr w14:paraId="1980C9AA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5073F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C5A88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资产删除功能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7A43D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7CC8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资产ID+删除原因足以构建删除申请，符合逻辑删除或物理删除流程</w:t>
            </w:r>
          </w:p>
        </w:tc>
      </w:tr>
      <w:tr w14:paraId="494DF4B8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3BD40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096AD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用户新增功能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82816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43B9E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输入包含用户完整属性，系统可生成账户并发送初始凭证</w:t>
            </w:r>
          </w:p>
        </w:tc>
      </w:tr>
      <w:tr w14:paraId="78DDA74D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10F41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72C4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用户资料修改功能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5EA63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5A77B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用户ID定位目标，修改字段明确，符合数据库更新和审批流程</w:t>
            </w:r>
          </w:p>
        </w:tc>
      </w:tr>
      <w:tr w14:paraId="14B0A257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57664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FR-09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6AE9A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用户权限分配功能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F281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447E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用户ID+权限名称可直接映射到权限表，系统可完成授权操作</w:t>
            </w:r>
          </w:p>
        </w:tc>
      </w:tr>
      <w:tr w14:paraId="15FDFEF1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6CF03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FR-10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84FBF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审批流程提交功能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4DE1C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374B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流程类型+资产ID+原因构成完整审批请求要素</w:t>
            </w:r>
          </w:p>
        </w:tc>
      </w:tr>
      <w:tr w14:paraId="7A191349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0F50F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C4830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审批流程查看功能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DD364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761B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流程ID可唯一标识审批记录，系统可查询关联状态信息</w:t>
            </w:r>
          </w:p>
        </w:tc>
      </w:tr>
      <w:tr w14:paraId="2E7199ED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7D35A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5A4C0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审批请求处理功能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1471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6DED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审批ID+处理结果+理由构成完整审批反馈，可更新状态并触发通知</w:t>
            </w:r>
          </w:p>
        </w:tc>
      </w:tr>
      <w:tr w14:paraId="03A124B5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E14BB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73EC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资产报表导出功能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54325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56D71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筛选条件+格式参数可通过报表引擎生成文件，系统具备文件生成和下载能力</w:t>
            </w:r>
          </w:p>
        </w:tc>
      </w:tr>
      <w:tr w14:paraId="5166A241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F89B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9D3A9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资产数据导入功能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CA1E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4D5E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文件解析技术成熟，字段映射明确，可实现数据持久化</w:t>
            </w:r>
          </w:p>
        </w:tc>
      </w:tr>
      <w:tr w14:paraId="35B3ED3D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6CEB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F763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管理员操作记录查看功能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C911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44F5F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查询条件可构建日志检索语句，系统具备日志记录和导出功能</w:t>
            </w:r>
          </w:p>
        </w:tc>
      </w:tr>
      <w:tr w14:paraId="573E068B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8947C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ADBD7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邮件发送功能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A6694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F87CE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输入包含完整邮件要素（收件人+主题+正文），系统集成SMTP协议即可实现</w:t>
            </w:r>
          </w:p>
        </w:tc>
      </w:tr>
      <w:tr w14:paraId="675D4872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CEDAF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672E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邮件查看功能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96B40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18E14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查询条件支持邮件检索，系统具备邮件存储和展示功能</w:t>
            </w:r>
          </w:p>
        </w:tc>
      </w:tr>
    </w:tbl>
    <w:p w14:paraId="7FB12513">
      <w:pPr>
        <w:pStyle w:val="30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</w:rPr>
      </w:pPr>
      <w:r>
        <w:rPr>
          <w:rStyle w:val="134"/>
          <w:rFonts w:hint="default" w:ascii="Helvetica" w:hAnsi="Helvetica" w:eastAsia="Helvetica" w:cs="Helvetica"/>
          <w:b/>
          <w:bCs/>
          <w:i w:val="0"/>
          <w:iCs w:val="0"/>
          <w:caps w:val="0"/>
          <w:color w:val="393939"/>
          <w:spacing w:val="0"/>
          <w:sz w:val="21"/>
          <w:szCs w:val="21"/>
          <w:shd w:val="clear" w:fill="FFFFFF"/>
        </w:rPr>
        <w:t>可行性说明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shd w:val="clear" w:fill="FFFFFF"/>
        </w:rPr>
        <w:t>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shd w:val="clear" w:fill="FFFFFF"/>
        </w:rPr>
        <w:t>所有功能点均满足输入到输出的完整转化路径：</w:t>
      </w:r>
    </w:p>
    <w:p w14:paraId="77B5946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34"/>
          <w:rFonts w:hint="default" w:ascii="Helvetica" w:hAnsi="Helvetica" w:eastAsia="Helvetica" w:cs="Helvetica"/>
          <w:b/>
          <w:bCs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输入完整性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：每个功能的输入参数均包含实现输出所需的核心要素</w:t>
      </w:r>
    </w:p>
    <w:p w14:paraId="33274A65">
      <w:pPr>
        <w:keepNext w:val="0"/>
        <w:keepLines w:val="0"/>
        <w:widowControl/>
        <w:numPr>
          <w:ilvl w:val="0"/>
          <w:numId w:val="9"/>
        </w:numPr>
        <w:suppressLineNumbers w:val="0"/>
        <w:spacing w:before="53" w:beforeAutospacing="0" w:after="0" w:afterAutospacing="1"/>
        <w:ind w:left="720" w:hanging="360"/>
      </w:pPr>
      <w:r>
        <w:rPr>
          <w:rStyle w:val="134"/>
          <w:rFonts w:hint="default" w:ascii="Helvetica" w:hAnsi="Helvetica" w:eastAsia="Helvetica" w:cs="Helvetica"/>
          <w:b/>
          <w:bCs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技术可实现性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：</w:t>
      </w:r>
    </w:p>
    <w:p w14:paraId="41059168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数据库操作（CRUD）属于基础能力</w:t>
      </w:r>
    </w:p>
    <w:p w14:paraId="393AF3B4">
      <w:pPr>
        <w:keepNext w:val="0"/>
        <w:keepLines w:val="0"/>
        <w:widowControl/>
        <w:numPr>
          <w:ilvl w:val="1"/>
          <w:numId w:val="9"/>
        </w:numPr>
        <w:suppressLineNumbers w:val="0"/>
        <w:spacing w:before="53" w:beforeAutospacing="0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邮件通知依赖标准SMTP协议集成</w:t>
      </w:r>
    </w:p>
    <w:p w14:paraId="04B8C6C9">
      <w:pPr>
        <w:keepNext w:val="0"/>
        <w:keepLines w:val="0"/>
        <w:widowControl/>
        <w:numPr>
          <w:ilvl w:val="1"/>
          <w:numId w:val="9"/>
        </w:numPr>
        <w:suppressLineNumbers w:val="0"/>
        <w:spacing w:before="53" w:beforeAutospacing="0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文件处理采用成熟解析库（如Apache POI）</w:t>
      </w:r>
    </w:p>
    <w:p w14:paraId="24746B64">
      <w:pPr>
        <w:keepNext w:val="0"/>
        <w:keepLines w:val="0"/>
        <w:widowControl/>
        <w:numPr>
          <w:ilvl w:val="1"/>
          <w:numId w:val="9"/>
        </w:numPr>
        <w:suppressLineNumbers w:val="0"/>
        <w:spacing w:before="53" w:beforeAutospacing="0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审批流程可通过状态机实现</w:t>
      </w:r>
    </w:p>
    <w:p w14:paraId="6BF40941">
      <w:pPr>
        <w:keepNext w:val="0"/>
        <w:keepLines w:val="0"/>
        <w:widowControl/>
        <w:numPr>
          <w:ilvl w:val="0"/>
          <w:numId w:val="9"/>
        </w:numPr>
        <w:suppressLineNumbers w:val="0"/>
        <w:spacing w:before="53" w:beforeAutospacing="0" w:after="0" w:afterAutospacing="1"/>
        <w:ind w:left="720" w:hanging="360"/>
      </w:pPr>
      <w:r>
        <w:rPr>
          <w:rStyle w:val="134"/>
          <w:rFonts w:hint="default" w:ascii="Helvetica" w:hAnsi="Helvetica" w:eastAsia="Helvetica" w:cs="Helvetica"/>
          <w:b/>
          <w:bCs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业务逻辑闭环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：</w:t>
      </w:r>
    </w:p>
    <w:p w14:paraId="4A338F38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关键操作（修改/删除/转移）均包含审批机制</w:t>
      </w:r>
    </w:p>
    <w:p w14:paraId="277E88AB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操作记录追溯通过日志系统保障</w:t>
      </w:r>
    </w:p>
    <w:p w14:paraId="5C3FF36E">
      <w:pPr>
        <w:keepNext w:val="0"/>
        <w:keepLines w:val="0"/>
        <w:widowControl/>
        <w:numPr>
          <w:ilvl w:val="0"/>
          <w:numId w:val="9"/>
        </w:numPr>
        <w:suppressLineNumbers w:val="0"/>
        <w:spacing w:before="53" w:beforeAutospacing="0" w:after="0" w:afterAutospacing="1"/>
        <w:ind w:left="720" w:hanging="360"/>
      </w:pPr>
      <w:r>
        <w:rPr>
          <w:rStyle w:val="134"/>
          <w:rFonts w:hint="default" w:ascii="Helvetica" w:hAnsi="Helvetica" w:eastAsia="Helvetica" w:cs="Helvetica"/>
          <w:b/>
          <w:bCs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系统扩展性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：</w:t>
      </w:r>
    </w:p>
    <w:p w14:paraId="69F8B6A6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报表引擎支持多格式输出</w:t>
      </w:r>
    </w:p>
    <w:p w14:paraId="51F24FB4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53" w:beforeAutospacing="0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权限系统采用RBAC模型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EEF255"/>
    <w:multiLevelType w:val="multilevel"/>
    <w:tmpl w:val="D1EEF25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7">
    <w:nsid w:val="3BC461FB"/>
    <w:multiLevelType w:val="multilevel"/>
    <w:tmpl w:val="3BC461F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25B7B2B"/>
    <w:rsid w:val="53281E1B"/>
    <w:rsid w:val="5D08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3">
    <w:name w:val="Default Paragraph Font"/>
    <w:semiHidden/>
    <w:unhideWhenUsed/>
    <w:uiPriority w:val="1"/>
  </w:style>
  <w:style w:type="table" w:default="1" w:styleId="3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5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31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2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4">
    <w:name w:val="Table Grid"/>
    <w:basedOn w:val="3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5">
    <w:name w:val="Light Shading"/>
    <w:basedOn w:val="33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6">
    <w:name w:val="Light Shading Accent 1"/>
    <w:basedOn w:val="33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7">
    <w:name w:val="Light Shading Accent 2"/>
    <w:basedOn w:val="33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8">
    <w:name w:val="Light Shading Accent 3"/>
    <w:basedOn w:val="33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9">
    <w:name w:val="Light Shading Accent 4"/>
    <w:basedOn w:val="33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0">
    <w:name w:val="Light Shading Accent 5"/>
    <w:basedOn w:val="33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1">
    <w:name w:val="Light Shading Accent 6"/>
    <w:basedOn w:val="33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2">
    <w:name w:val="Light List"/>
    <w:basedOn w:val="33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3">
    <w:name w:val="Light List Accent 1"/>
    <w:basedOn w:val="33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4">
    <w:name w:val="Light List Accent 2"/>
    <w:basedOn w:val="33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5">
    <w:name w:val="Light List Accent 3"/>
    <w:basedOn w:val="33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6">
    <w:name w:val="Light List Accent 4"/>
    <w:basedOn w:val="33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7">
    <w:name w:val="Light List Accent 5"/>
    <w:basedOn w:val="33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8">
    <w:name w:val="Light List Accent 6"/>
    <w:basedOn w:val="33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9">
    <w:name w:val="Light Grid"/>
    <w:basedOn w:val="33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0">
    <w:name w:val="Light Grid Accent 1"/>
    <w:basedOn w:val="33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1">
    <w:name w:val="Light Grid Accent 2"/>
    <w:basedOn w:val="33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2">
    <w:name w:val="Light Grid Accent 3"/>
    <w:basedOn w:val="33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3">
    <w:name w:val="Light Grid Accent 4"/>
    <w:basedOn w:val="33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4">
    <w:name w:val="Light Grid Accent 5"/>
    <w:basedOn w:val="33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5">
    <w:name w:val="Light Grid Accent 6"/>
    <w:basedOn w:val="33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6">
    <w:name w:val="Medium Shading 1"/>
    <w:basedOn w:val="33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1"/>
    <w:basedOn w:val="33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2"/>
    <w:basedOn w:val="33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3"/>
    <w:basedOn w:val="33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4"/>
    <w:basedOn w:val="33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5"/>
    <w:basedOn w:val="33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6"/>
    <w:basedOn w:val="33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2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1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2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3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4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5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6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List 1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1">
    <w:name w:val="Medium List 1 Accent 1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2">
    <w:name w:val="Medium List 1 Accent 2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3">
    <w:name w:val="Medium List 1 Accent 3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4">
    <w:name w:val="Medium List 1 Accent 4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5">
    <w:name w:val="Medium List 1 Accent 5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6">
    <w:name w:val="Medium List 1 Accent 6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7">
    <w:name w:val="Medium List 2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1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2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3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4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5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6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Grid 1"/>
    <w:basedOn w:val="33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5">
    <w:name w:val="Medium Grid 1 Accent 1"/>
    <w:basedOn w:val="33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6">
    <w:name w:val="Medium Grid 1 Accent 2"/>
    <w:basedOn w:val="33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7">
    <w:name w:val="Medium Grid 1 Accent 3"/>
    <w:basedOn w:val="33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8">
    <w:name w:val="Medium Grid 1 Accent 4"/>
    <w:basedOn w:val="33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9">
    <w:name w:val="Medium Grid 1 Accent 5"/>
    <w:basedOn w:val="33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0">
    <w:name w:val="Medium Grid 1 Accent 6"/>
    <w:basedOn w:val="33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3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9">
    <w:name w:val="Medium Grid 3 Accent 1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0">
    <w:name w:val="Medium Grid 3 Accent 2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1">
    <w:name w:val="Medium Grid 3 Accent 3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2">
    <w:name w:val="Medium Grid 3 Accent 4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3">
    <w:name w:val="Medium Grid 3 Accent 5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4">
    <w:name w:val="Medium Grid 3 Accent 6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5">
    <w:name w:val="Dark List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6">
    <w:name w:val="Dark List Accent 1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7">
    <w:name w:val="Dark List Accent 2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8">
    <w:name w:val="Dark List Accent 3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9">
    <w:name w:val="Dark List Accent 4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0">
    <w:name w:val="Dark List Accent 5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1">
    <w:name w:val="Dark List Accent 6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2">
    <w:name w:val="Colorful Shading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1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2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3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6">
    <w:name w:val="Colorful Shading Accent 4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5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6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List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0">
    <w:name w:val="Colorful List Accent 1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1">
    <w:name w:val="Colorful List Accent 2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2">
    <w:name w:val="Colorful List Accent 3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3">
    <w:name w:val="Colorful List Accent 4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4">
    <w:name w:val="Colorful List Accent 5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5">
    <w:name w:val="Colorful List Accent 6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6">
    <w:name w:val="Colorful Grid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7">
    <w:name w:val="Colorful Grid Accent 1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8">
    <w:name w:val="Colorful Grid Accent 2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9">
    <w:name w:val="Colorful Grid Accent 3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0">
    <w:name w:val="Colorful Grid Accent 4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1">
    <w:name w:val="Colorful Grid Accent 5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2">
    <w:name w:val="Colorful Grid Accent 6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4">
    <w:name w:val="Strong"/>
    <w:basedOn w:val="133"/>
    <w:qFormat/>
    <w:uiPriority w:val="22"/>
    <w:rPr>
      <w:b/>
      <w:bCs/>
    </w:rPr>
  </w:style>
  <w:style w:type="character" w:styleId="135">
    <w:name w:val="Emphasis"/>
    <w:basedOn w:val="133"/>
    <w:qFormat/>
    <w:uiPriority w:val="20"/>
    <w:rPr>
      <w:i/>
      <w:iCs/>
    </w:rPr>
  </w:style>
  <w:style w:type="character" w:customStyle="1" w:styleId="136">
    <w:name w:val="Header Char"/>
    <w:basedOn w:val="133"/>
    <w:link w:val="25"/>
    <w:uiPriority w:val="99"/>
  </w:style>
  <w:style w:type="character" w:customStyle="1" w:styleId="137">
    <w:name w:val="Footer Char"/>
    <w:basedOn w:val="133"/>
    <w:link w:val="24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33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33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33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33"/>
    <w:link w:val="3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33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33"/>
    <w:link w:val="19"/>
    <w:uiPriority w:val="99"/>
  </w:style>
  <w:style w:type="character" w:customStyle="1" w:styleId="146">
    <w:name w:val="Body Text 2 Char"/>
    <w:basedOn w:val="133"/>
    <w:link w:val="28"/>
    <w:qFormat/>
    <w:uiPriority w:val="99"/>
  </w:style>
  <w:style w:type="character" w:customStyle="1" w:styleId="147">
    <w:name w:val="Body Text 3 Char"/>
    <w:basedOn w:val="133"/>
    <w:link w:val="17"/>
    <w:qFormat/>
    <w:uiPriority w:val="99"/>
    <w:rPr>
      <w:sz w:val="16"/>
      <w:szCs w:val="16"/>
    </w:rPr>
  </w:style>
  <w:style w:type="character" w:customStyle="1" w:styleId="148">
    <w:name w:val="Macro Text Char"/>
    <w:basedOn w:val="133"/>
    <w:link w:val="2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33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33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33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33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33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33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33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33"/>
    <w:link w:val="1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33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33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33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33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33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</Words>
  <Characters>4</Characters>
  <Lines>0</Lines>
  <Paragraphs>0</Paragraphs>
  <TotalTime>6</TotalTime>
  <ScaleCrop>false</ScaleCrop>
  <LinksUpToDate>false</LinksUpToDate>
  <CharactersWithSpaces>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吴</cp:lastModifiedBy>
  <dcterms:modified xsi:type="dcterms:W3CDTF">2025-04-29T02:34:45Z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eyJoZGlkIjoiMGQ2M2VlZjUyOGJmYTVkOTRjZDZjNTVmYjhhMjM4OTkiLCJ1c2VySWQiOiIxMTU2MTQ5MDExIn0=</vt:lpwstr>
  </property>
  <property fmtid="{D5CDD505-2E9C-101B-9397-08002B2CF9AE}" pid="3" name="KSOProductBuildVer">
    <vt:lpwstr>2052-12.1.0.20784</vt:lpwstr>
  </property>
  <property fmtid="{D5CDD505-2E9C-101B-9397-08002B2CF9AE}" pid="4" name="ICV">
    <vt:lpwstr>AA7EBED7C9AA4EE69A0C10ED350E1ED7_12</vt:lpwstr>
  </property>
</Properties>
</file>