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63153">
      <w:pPr>
        <w:pStyle w:val="31"/>
      </w:pPr>
      <w:r>
        <w:t>评估文档</w:t>
      </w:r>
    </w:p>
    <w:p w14:paraId="36D39EFD">
      <w:pPr>
        <w:pStyle w:val="3"/>
      </w:pPr>
      <w:r>
        <w:t>Complete Analysis</w:t>
      </w:r>
    </w:p>
    <w:p w14:paraId="4304AE74">
      <w:r>
        <w:t>根据需求规约说明书中的定义，逐一分析各功能点是否符合“完整引用”标准（即未引用未定义的功能、输入、输出或数据库表）：</w:t>
      </w:r>
      <w:r>
        <w:br w:type="textWrapping"/>
      </w:r>
      <w:r>
        <w:br w:type="textWrapping"/>
      </w:r>
      <w:r>
        <w:t xml:space="preserve">1. **FR-01 资产登记功能**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输入字段（资产名称、类别、状态等）对应数据库表 `Asset` 和 `AssetRegistrationInfo` 的字段；输出记录的数据库表已在软件接口中定义。</w:t>
      </w:r>
      <w:r>
        <w:br w:type="textWrapping"/>
      </w:r>
      <w:r>
        <w:br w:type="textWrapping"/>
      </w:r>
      <w:r>
        <w:t xml:space="preserve">2. **FR-02 资产管理功能**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输入字段（资产编号、操作类型等）和输出记录（`AssetUsageRecord`、`AssetTransferRecord` 等）均与文档中数据库表定义一致。</w:t>
      </w:r>
      <w:r>
        <w:br w:type="textWrapping"/>
      </w:r>
      <w:r>
        <w:br w:type="textWrapping"/>
      </w:r>
      <w:r>
        <w:t xml:space="preserve">3. **FR-03 资产查询功能**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查询条件字段（资产编号、状态等）和输出结果（`AssetRegistrationInfo` 等表）均在文档中定义。</w:t>
      </w:r>
      <w:r>
        <w:br w:type="textWrapping"/>
      </w:r>
      <w:r>
        <w:br w:type="textWrapping"/>
      </w:r>
      <w:r>
        <w:t xml:space="preserve">4. **FR-04 资产转移申请功能**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输入字段（资产编号、原使用人等）与 `AssetTransferRecord` 表字段一致；输出触发审批流程已定义。</w:t>
      </w:r>
      <w:r>
        <w:br w:type="textWrapping"/>
      </w:r>
      <w:r>
        <w:br w:type="textWrapping"/>
      </w:r>
      <w:r>
        <w:t xml:space="preserve">5. **FR-05 资产转移审批功能**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输入字段（审批状态、审批意见等）和输出（`ApprovalRecord` 更新）均匹配数据库表和流程定义。</w:t>
      </w:r>
      <w:r>
        <w:br w:type="textWrapping"/>
      </w:r>
      <w:r>
        <w:br w:type="textWrapping"/>
      </w:r>
      <w:r>
        <w:t xml:space="preserve">6. **FR-06 资产归还申请功能**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输入字段（资产编号、归还人ID等）与 `AssetReturnRecord` 表一致；输出状态更新符合定义。</w:t>
      </w:r>
      <w:r>
        <w:br w:type="textWrapping"/>
      </w:r>
      <w:r>
        <w:br w:type="textWrapping"/>
      </w:r>
      <w:r>
        <w:t xml:space="preserve">7. **FR-07 资产归还审批功能**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输入和输出（`ApprovalRecord` 更新、状态变更）均基于文档中的数据库表和流程。</w:t>
      </w:r>
      <w:r>
        <w:br w:type="textWrapping"/>
      </w:r>
      <w:r>
        <w:br w:type="textWrapping"/>
      </w:r>
      <w:r>
        <w:t xml:space="preserve">8. **FR-08 审批流程配置功能**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输入字段（审批类型、步骤等）对应 `ApprovalProcess` 表；输出规则生效已在接口中说明。</w:t>
      </w:r>
      <w:r>
        <w:br w:type="textWrapping"/>
      </w:r>
      <w:r>
        <w:br w:type="textWrapping"/>
      </w:r>
      <w:r>
        <w:t xml:space="preserve">9. **FR-09 审批记录查看功能**  </w:t>
      </w:r>
      <w:r>
        <w:br w:type="textWrapping"/>
      </w:r>
      <w:r>
        <w:t xml:space="preserve">   - **符合**  </w:t>
      </w:r>
      <w:r>
        <w:br w:type="textWrapping"/>
      </w:r>
      <w:r>
        <w:t xml:space="preserve">   - 查询条件和输出结果（`ApprovalRecord` 列表）均基于已定义的数据库表。</w:t>
      </w:r>
      <w:r>
        <w:br w:type="textWrapping"/>
      </w:r>
      <w:r>
        <w:br w:type="textWrapping"/>
      </w:r>
      <w:r>
        <w:t xml:space="preserve">10. **FR-10 用户注册功能**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输入字段（用户名、部门等）与 `User` 和 `AuthenticationInfo` 表一致；输出权限分配已定义。</w:t>
      </w:r>
      <w:r>
        <w:br w:type="textWrapping"/>
      </w:r>
      <w:r>
        <w:br w:type="textWrapping"/>
      </w:r>
      <w:r>
        <w:t xml:space="preserve">11. **FR-11 用户权限分配功能**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输入（用户ID、权限名称）和输出（`Permission` 表更新）均匹配文档中的数据库表。</w:t>
      </w:r>
      <w:r>
        <w:br w:type="textWrapping"/>
      </w:r>
      <w:r>
        <w:br w:type="textWrapping"/>
      </w:r>
      <w:r>
        <w:t xml:space="preserve">12. **FR-12 用户信息管理功能**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输入字段（用户ID、角色等）和输出（`User` 表更新）已在软件接口中定义。</w:t>
      </w:r>
      <w:r>
        <w:br w:type="textWrapping"/>
      </w:r>
      <w:r>
        <w:br w:type="textWrapping"/>
      </w:r>
      <w:r>
        <w:t xml:space="preserve">13. **FR-13 系统管理员登录功能**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输入（用户名、密码）和输出（权限加载、操作日志）均通过认证系统和 `OperationLog` 表实现。</w:t>
      </w:r>
      <w:r>
        <w:br w:type="textWrapping"/>
      </w:r>
      <w:r>
        <w:br w:type="textWrapping"/>
      </w:r>
      <w:r>
        <w:t xml:space="preserve">14. **FR-14 报表生成功能**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输入（报表类型、时间范围）和输出（`Report` 内容）均基于已定义的查询逻辑和数据库表。</w:t>
      </w:r>
      <w:r>
        <w:br w:type="textWrapping"/>
      </w:r>
      <w:r>
        <w:br w:type="textWrapping"/>
      </w:r>
      <w:r>
        <w:t xml:space="preserve">15. **FR-15 报表导出功能**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输入（导出格式）和输出（下载链接）已在外部接口的报表导出部分说明。</w:t>
      </w:r>
      <w:r>
        <w:br w:type="textWrapping"/>
      </w:r>
      <w:r>
        <w:br w:type="textWrapping"/>
      </w:r>
      <w:r>
        <w:t xml:space="preserve">16. **FR-16 数据导入功能**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输入文件字段（资产编号、类别等）与数据库表字段一致；输出数据写入操作已定义。</w:t>
      </w:r>
      <w:r>
        <w:br w:type="textWrapping"/>
      </w:r>
      <w:r>
        <w:br w:type="textWrapping"/>
      </w:r>
      <w:r>
        <w:t xml:space="preserve">17. **FR-17 数据导出功能**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输入（数据类型、格式）和输出（导出文件）在文档的软件接口中明确说明。</w:t>
      </w:r>
      <w:r>
        <w:br w:type="textWrapping"/>
      </w:r>
      <w:r>
        <w:br w:type="textWrapping"/>
      </w:r>
      <w:r>
        <w:t xml:space="preserve">18. **FR-18 认证信息管理功能**  </w:t>
      </w:r>
      <w:r>
        <w:br w:type="textWrapping"/>
      </w:r>
      <w:r>
        <w:t xml:space="preserve">    - **符合**  </w:t>
      </w:r>
      <w:r>
        <w:br w:type="textWrapping"/>
      </w:r>
      <w:r>
        <w:t xml:space="preserve">    - 输入（用户ID、认证状态）和输出（`AuthenticationInfo` 更新）均基于已定义的数据库表和认证系统接口。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**结论**：所有功能点（FR-01 至 FR-18）均满足“完整引用”标准，其输入、输出及依赖的数据库表均在需求规约说明书中明确定义，未引用未声明的内容。</w:t>
      </w:r>
    </w:p>
    <w:p w14:paraId="73E7DFB8">
      <w:pPr>
        <w:pStyle w:val="3"/>
      </w:pPr>
      <w:r>
        <w:t>Feasible Analysis</w:t>
      </w:r>
    </w:p>
    <w:p w14:paraId="75D46846">
      <w:r>
        <w:t>根据功能需求的描述和可行性定义（输入可完整转化为输出），以下是各功能需求的可行性评估及理由：</w:t>
      </w:r>
      <w:r>
        <w:br w:type="textWrapping"/>
      </w:r>
      <w:r>
        <w:br w:type="textWrapping"/>
      </w:r>
      <w:r>
        <w:t>| **功能编号** | **可行性** | **理由** |</w:t>
      </w:r>
      <w:r>
        <w:br w:type="textWrapping"/>
      </w:r>
      <w:r>
        <w:t>|--------------|------------|----------|</w:t>
      </w:r>
      <w:r>
        <w:br w:type="textWrapping"/>
      </w:r>
      <w:r>
        <w:t>| **FR-01**（资产登记） | 可行 | 输入字段（资产名称、类别、状态等）完整对应数据库表字段（AssetRegistrationInfo、Asset），通过表单提交即可完成数据存储，触发审批流程可通过配置实现。 |</w:t>
      </w:r>
      <w:r>
        <w:br w:type="textWrapping"/>
      </w:r>
      <w:r>
        <w:t>| **FR-02**（资产管理） | 可行 | 操作类型和审批状态等输入足以更新资产状态并生成对应记录，触发审批流程与FR-01逻辑一致。 |</w:t>
      </w:r>
      <w:r>
        <w:br w:type="textWrapping"/>
      </w:r>
      <w:r>
        <w:t>| **FR-03**（资产查询） | 可行 | 查询条件与数据库字段匹配，导出报表可通过现有技术（如POI库生成Excel）实现。 |</w:t>
      </w:r>
      <w:r>
        <w:br w:type="textWrapping"/>
      </w:r>
      <w:r>
        <w:t>| **FR-04**（资产转移申请） | 可行 | 输入字段（资产编号、新旧使用人ID等）可生成转移记录，触发审批流程依赖FR-08配置，若审批流程配置可行则此处可行。 |</w:t>
      </w:r>
      <w:r>
        <w:br w:type="textWrapping"/>
      </w:r>
      <w:r>
        <w:t>| **FR-05**（资产转移审批） | 可行 | 审批状态、意见等输入可直接更新审批记录和资产状态，通知功能需依赖邮件接口（假设已实现）。 |</w:t>
      </w:r>
      <w:r>
        <w:br w:type="textWrapping"/>
      </w:r>
      <w:r>
        <w:t>| **FR-06**（资产归还申请） | 可行 | 逻辑与FR-04相同，输入字段完整，触发审批流程可行。 |</w:t>
      </w:r>
      <w:r>
        <w:br w:type="textWrapping"/>
      </w:r>
      <w:r>
        <w:t>| **FR-07**（资产归还审批） | 可行 | 逻辑与FR-05相同，审批操作可更新记录和状态。 |</w:t>
      </w:r>
      <w:r>
        <w:br w:type="textWrapping"/>
      </w:r>
      <w:r>
        <w:rPr>
          <w:color w:val="FF0000"/>
        </w:rPr>
        <w:t>| **FR-08**（审批流程配置） |</w:t>
      </w:r>
      <w:bookmarkStart w:id="0" w:name="_GoBack"/>
      <w:bookmarkEnd w:id="0"/>
      <w:r>
        <w:rPr>
          <w:color w:val="FF0000"/>
        </w:rPr>
        <w:t xml:space="preserve"> **部分可行** | 需依赖外部审批流程引擎（如Activiti），若系统未集成或接口未实现，则无法完全实现“审批条件”等复杂规则。但基本审批步骤配置可行。 |</w:t>
      </w:r>
      <w:r>
        <w:br w:type="textWrapping"/>
      </w:r>
      <w:r>
        <w:t>| **FR-09**（审批记录查看） | 可行 | 查询条件与数据库字段匹配，导出功能与FR-03类似。 |</w:t>
      </w:r>
      <w:r>
        <w:br w:type="textWrapping"/>
      </w:r>
      <w:r>
        <w:t>| **FR-10**（用户注册） | 可行 | 输入字段完整，生成用户表和认证表数据可通过常规CRUD操作实现。 |</w:t>
      </w:r>
      <w:r>
        <w:br w:type="textWrapping"/>
      </w:r>
      <w:r>
        <w:t>| **FR-11**（用户权限分配） | 可行 | 输入字段（用户ID、权限名称）可映射到权限表，需确保权限系统支持动态分配。 |</w:t>
      </w:r>
      <w:r>
        <w:br w:type="textWrapping"/>
      </w:r>
      <w:r>
        <w:t>| **FR-12**（用户信息管理） | 可行 | 编辑用户信息并同步认证表可通过事务操作实现。 |</w:t>
      </w:r>
      <w:r>
        <w:br w:type="textWrapping"/>
      </w:r>
      <w:r>
        <w:t>| **FR-13**（管理员登录） | 可行 | 标准登录认证流程，依赖外部认证系统接口（假设已对接）。 |</w:t>
      </w:r>
      <w:r>
        <w:br w:type="textWrapping"/>
      </w:r>
      <w:r>
        <w:t>| **FR-14**（报表生成） | 可行 | 查询条件可转化为SQL语句，报表内容生成需数据聚合逻辑，技术上可实现。 |</w:t>
      </w:r>
      <w:r>
        <w:br w:type="textWrapping"/>
      </w:r>
      <w:r>
        <w:t>| **FR-15**（报表导出） | 可行 | 导出功能依赖第三方库（如Apache POI、iText），技术成熟。 |</w:t>
      </w:r>
      <w:r>
        <w:br w:type="textWrapping"/>
      </w:r>
      <w:r>
        <w:rPr>
          <w:color w:val="FF0000"/>
        </w:rPr>
        <w:t>| **FR-16**（数据导入） | **部分可行** | 需解析Excel/CSV文件并批量写入数据库，但若文件格式复杂或字段映射错误可能导致部分失败，需额外校验逻辑。 |</w:t>
      </w:r>
      <w:r>
        <w:br w:type="textWrapping"/>
      </w:r>
      <w:r>
        <w:t>| **FR-17**（数据导出） | 可行 | 逻辑与FR-15类似，导出指定数据类型可行。 |</w:t>
      </w:r>
      <w:r>
        <w:br w:type="textWrapping"/>
      </w:r>
      <w:r>
        <w:t>| **FR-18**（认证信息管理） | 可行 | 密码重置、账户状态更新可通过数据库操作实现，需与外部认证系统同步（假设接口可用）。 |</w:t>
      </w:r>
      <w:r>
        <w:br w:type="textWrapping"/>
      </w:r>
      <w:r>
        <w:br w:type="textWrapping"/>
      </w:r>
      <w:r>
        <w:t>### **总结统计**</w:t>
      </w:r>
      <w:r>
        <w:br w:type="textWrapping"/>
      </w:r>
      <w:r>
        <w:t>- **可行需求**：FR-01至FR-07、FR-09至FR-15、FR-17至FR-18（共15项）。</w:t>
      </w:r>
      <w:r>
        <w:br w:type="textWrapping"/>
      </w:r>
      <w:r>
        <w:t>- **部分可行需求**：FR-08（审批流程配置）、FR-16（数据导入）需依赖外部系统或额外校验逻辑。</w:t>
      </w:r>
      <w:r>
        <w:br w:type="textWrapping"/>
      </w:r>
      <w:r>
        <w:t>- **不可行需求**：无完全不可行需求，但部分需求需额外条件支持。</w:t>
      </w:r>
      <w:r>
        <w:br w:type="textWrapping"/>
      </w:r>
      <w:r>
        <w:br w:type="textWrapping"/>
      </w:r>
      <w:r>
        <w:t>### **关键依赖与风险**</w:t>
      </w:r>
      <w:r>
        <w:br w:type="textWrapping"/>
      </w:r>
      <w:r>
        <w:t>1. **审批流程引擎**（FR-08）：若未集成工作流引擎，复杂审批规则（如多级审批、条件判断）难以实现。</w:t>
      </w:r>
      <w:r>
        <w:br w:type="textWrapping"/>
      </w:r>
      <w:r>
        <w:t>2. **外部系统对接**：邮件通知（FR-05、FR-07）、认证系统同步（FR-10、FR-18）需确保接口稳定。</w:t>
      </w:r>
      <w:r>
        <w:br w:type="textWrapping"/>
      </w:r>
      <w:r>
        <w:t>3. **文件处理**（FR-16）：需处理文件格式兼容性和数据清洗问题，可能增加开发复杂度。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D8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2260</Words>
  <Characters>3118</Characters>
  <Lines>0</Lines>
  <Paragraphs>0</Paragraphs>
  <TotalTime>0</TotalTime>
  <ScaleCrop>false</ScaleCrop>
  <LinksUpToDate>false</LinksUpToDate>
  <CharactersWithSpaces>3540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2025-05-18T11:03:09Z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B450F997E28A4593A203A558FBBFE35F_12</vt:lpwstr>
  </property>
</Properties>
</file>