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评估文档</w:t>
      </w:r>
    </w:p>
    <w:p>
      <w:pPr>
        <w:pStyle w:val="Heading1"/>
      </w:pPr>
      <w:r>
        <w:t>Complete Analysis</w:t>
      </w:r>
    </w:p>
    <w:p>
      <w:r>
        <w:t>以下是针对每个功能点是否符合“完整引用”标准的分析：</w:t>
        <w:br/>
        <w:br/>
        <w:t>---</w:t>
        <w:br/>
        <w:br/>
        <w:t>### **FR-01 资产登记功能**</w:t>
        <w:br/>
        <w:t xml:space="preserve">- **符合**  </w:t>
        <w:br/>
        <w:t xml:space="preserve">  理由：输入/输出均引用已定义的数据库存储、审批流程（FR-12）、身份验证（用户接口）。</w:t>
        <w:br/>
        <w:br/>
        <w:t>---</w:t>
        <w:br/>
        <w:br/>
        <w:t>### **FR-02 资产转移功能**</w:t>
        <w:br/>
        <w:t xml:space="preserve">- **符合**  </w:t>
        <w:br/>
        <w:t xml:space="preserve">  理由：输入/输出依赖已定义的数据库、审批流程（FR-12），未引用外部未定义内容。</w:t>
        <w:br/>
        <w:br/>
        <w:t>---</w:t>
        <w:br/>
        <w:br/>
        <w:t>### **FR-03 资产归还功能**</w:t>
        <w:br/>
        <w:t xml:space="preserve">- **符合**  </w:t>
        <w:br/>
        <w:t xml:space="preserve">  理由：输出状态更新（数据库）、审批流程（FR-12），输入/输出均定义明确。</w:t>
        <w:br/>
        <w:br/>
        <w:t>---</w:t>
        <w:br/>
        <w:br/>
        <w:t>### **FR-04 查看资产信息功能**</w:t>
        <w:br/>
        <w:t xml:space="preserve">- **符合**  </w:t>
        <w:br/>
        <w:t xml:space="preserve">  理由：所有输出数据（资产信息、记录）均通过数据库接口（已定义）获取。</w:t>
        <w:br/>
        <w:br/>
        <w:t>---</w:t>
        <w:br/>
        <w:br/>
        <w:t>### **FR-05 修改资产信息功能**</w:t>
        <w:br/>
        <w:t xml:space="preserve">- **符合**  </w:t>
        <w:br/>
        <w:t xml:space="preserve">  理由：依赖数据库和审批流程（FR-12），输入/输出均在需求中定义。</w:t>
        <w:br/>
        <w:br/>
        <w:t>---</w:t>
        <w:br/>
        <w:br/>
        <w:t>### **FR-06 用户新增功能**</w:t>
        <w:br/>
        <w:t xml:space="preserve">- **符合**  </w:t>
        <w:br/>
        <w:t xml:space="preserve">  理由：用户信息存储于数据库（已定义），审批流程引用FR-12。</w:t>
        <w:br/>
        <w:br/>
        <w:t>---</w:t>
        <w:br/>
        <w:br/>
        <w:t>### **FR-07 用户修改功能**</w:t>
        <w:br/>
        <w:t xml:space="preserve">- **符合**  </w:t>
        <w:br/>
        <w:t xml:space="preserve">  理由：同FR-05，依赖已定义的数据库和审批流程。</w:t>
        <w:br/>
        <w:br/>
        <w:t>---</w:t>
        <w:br/>
        <w:br/>
        <w:t>### **FR-08 用户删除功能**</w:t>
        <w:br/>
        <w:t xml:space="preserve">- **符合**  </w:t>
        <w:br/>
        <w:t xml:space="preserve">  理由：逻辑删除标记为数据库操作（已定义），通知通过邮件接口（外部接口已定义）。</w:t>
        <w:br/>
        <w:br/>
        <w:t>---</w:t>
        <w:br/>
        <w:br/>
        <w:t>### **FR-09 查看用户信息功能**</w:t>
        <w:br/>
        <w:t xml:space="preserve">- **符合**  </w:t>
        <w:br/>
        <w:t xml:space="preserve">  理由：输出数据均来自数据库，未引用未定义内容。</w:t>
        <w:br/>
        <w:br/>
        <w:t>---</w:t>
        <w:br/>
        <w:br/>
        <w:t>### **FR-10 用户权限分配功能**</w:t>
        <w:br/>
        <w:t xml:space="preserve">- **符合**  </w:t>
        <w:br/>
        <w:t xml:space="preserve">  理由：权限记录存储于数据库，审批流程引用FR-12。</w:t>
        <w:br/>
        <w:br/>
        <w:t>---</w:t>
        <w:br/>
        <w:br/>
        <w:t>### **FR-11 查看用户权限功能**</w:t>
        <w:br/>
        <w:t xml:space="preserve">- **符合**  </w:t>
        <w:br/>
        <w:t xml:space="preserve">  理由：输出数据依赖已定义的数据库内容。</w:t>
        <w:br/>
        <w:br/>
        <w:t>---</w:t>
        <w:br/>
        <w:br/>
        <w:t>### **FR-12 新建审批功能**</w:t>
        <w:br/>
        <w:t xml:space="preserve">- **符合**  </w:t>
        <w:br/>
        <w:t xml:space="preserve">  理由：审批流程实例和通知通过邮件接口（外部接口已定义），输入/输出明确。</w:t>
        <w:br/>
        <w:br/>
        <w:t>---</w:t>
        <w:br/>
        <w:br/>
        <w:t>### **FR-13 查看审批状态功能**</w:t>
        <w:br/>
        <w:t xml:space="preserve">- **符合**  </w:t>
        <w:br/>
        <w:t xml:space="preserve">  理由：审批状态和预测时间依赖内部逻辑（需求中隐含），输出无需外部未定义项。</w:t>
        <w:br/>
        <w:br/>
        <w:t>---</w:t>
        <w:br/>
        <w:br/>
        <w:t>### **FR-14 修改审批内容功能**</w:t>
        <w:br/>
        <w:t xml:space="preserve">- **符合**  </w:t>
        <w:br/>
        <w:t xml:space="preserve">  理由：依赖已定义的审批流程（FR-12）和数据库更新。</w:t>
        <w:br/>
        <w:br/>
        <w:t>---</w:t>
        <w:br/>
        <w:br/>
        <w:t>### **FR-15 删除审批记录功能**</w:t>
        <w:br/>
        <w:t xml:space="preserve">- **符合**  </w:t>
        <w:br/>
        <w:t xml:space="preserve">  理由：逻辑删除和通知机制均已在需求中定义。</w:t>
        <w:br/>
        <w:br/>
        <w:t>---</w:t>
        <w:br/>
        <w:br/>
        <w:t>### **FR-16 生成资产报告功能**</w:t>
        <w:br/>
        <w:t xml:space="preserve">- **符合**  </w:t>
        <w:br/>
        <w:t xml:space="preserve">  理由：报告生成依赖数据库数据，审批流程引用FR-12。</w:t>
        <w:br/>
        <w:br/>
        <w:t>---</w:t>
        <w:br/>
        <w:br/>
        <w:t>### **FR-17 查看资产报告功能**</w:t>
        <w:br/>
        <w:t xml:space="preserve">- **符合**  </w:t>
        <w:br/>
        <w:t xml:space="preserve">  理由：输出格式（PDF/Excel/HTML）和交互式图表在需求中明确。</w:t>
        <w:br/>
        <w:br/>
        <w:t>---</w:t>
        <w:br/>
        <w:br/>
        <w:t>### **FR-18 管理转移记录功能**</w:t>
        <w:br/>
        <w:t xml:space="preserve">- **符合**  </w:t>
        <w:br/>
        <w:t xml:space="preserve">  理由：操作依赖数据库更新和审批流程（FR-12）。</w:t>
        <w:br/>
        <w:br/>
        <w:t>---</w:t>
        <w:br/>
        <w:br/>
        <w:t>### **FR-19 管理归还记录功能**</w:t>
        <w:br/>
        <w:t xml:space="preserve">- **符合**  </w:t>
        <w:br/>
        <w:t xml:space="preserve">  理由：同FR-18，依赖已定义的操作和审批流程。</w:t>
        <w:br/>
        <w:br/>
        <w:t>---</w:t>
        <w:br/>
        <w:br/>
        <w:t>### **FR-20 管理审批记录功能**</w:t>
        <w:br/>
        <w:t xml:space="preserve">- **符合**  </w:t>
        <w:br/>
        <w:t xml:space="preserve">  理由：标记和导出审计包通过数据库操作（已定义）。</w:t>
        <w:br/>
        <w:br/>
        <w:t>---</w:t>
        <w:br/>
        <w:br/>
        <w:t>### **FR-21 管理权限信息功能**</w:t>
        <w:br/>
        <w:t xml:space="preserve">- **符合**  </w:t>
        <w:br/>
        <w:t xml:space="preserve">  理由：权限作用域调整依赖数据库更新，审批流程引用FR-12。</w:t>
        <w:br/>
        <w:br/>
        <w:t>---</w:t>
        <w:br/>
        <w:br/>
        <w:t>### **总结**</w:t>
        <w:br/>
        <w:t>所有功能点（FR-01至FR-21）均符合“完整引用”标准。输入/输出依赖的数据库、审批流程、用户接口等均在需求规约说明书中明确定义，未引用未声明的外部功能或数据。</w:t>
      </w:r>
    </w:p>
    <w:p>
      <w:pPr>
        <w:pStyle w:val="Heading1"/>
      </w:pPr>
      <w:r>
        <w:t>Feasible Analysis</w:t>
      </w:r>
    </w:p>
    <w:p>
      <w:r>
        <w:t>### 可行性分析表格</w:t>
        <w:br/>
        <w:br/>
        <w:t>| 功能编号 | 功能名称               | 可行性 | 判断理由                                                                 |</w:t>
        <w:br/>
        <w:t>|----------|------------------------|--------|--------------------------------------------------------------------------|</w:t>
        <w:br/>
        <w:t>| FR-01    | 资产登记功能           | 可行   | 输入包含必要信息（资产基本信息+文件），可生成审批流程并存储记录。        |</w:t>
        <w:br/>
        <w:t>| FR-02    | 资产转移功能           | 可行   | 输入包含转移目标和事由，逻辑上可更新资产归属部门。                       |</w:t>
        <w:br/>
        <w:t>| FR-03    | 资产归还功能           | 可行   | 输入包含资产状况描述，可触发状态变更，但需依赖后续入库检查流程。         |</w:t>
        <w:br/>
        <w:t>| FR-04    | 查看资产信息功能       | 可行   | 输入查询条件后，通过数据库检索即可返回结构化数据。                       |</w:t>
        <w:br/>
        <w:t>| FR-05    | 修改资产信息功能       | 可行   | 修改内容和依据文件足够发起审批流程并更新记录。                           |</w:t>
        <w:br/>
        <w:t>| FR-06    | 用户新增功能           | 可行   | 用户信息和身份证明文件满足创建记录和审批需求。                           |</w:t>
        <w:br/>
        <w:t>| FR-07    | 用户修改功能           | 可行   | 修改内容和文件支持审批流程，逻辑与FR-05一致。                            |</w:t>
        <w:br/>
        <w:t>| FR-08    | 用户删除功能           | 可行   | 逻辑删除需标记状态，输入事由和文件满足合规性要求。                       |</w:t>
        <w:br/>
        <w:t>| FR-09    | 查看用户信息功能       | 可行   | 查询条件足够返回用户状态和权限信息。                                     |</w:t>
        <w:br/>
        <w:t>| FR-10    | 用户权限分配功能       | 可行   | 权限模板和有效期明确，可生成权限分配记录并触发审批。                     |</w:t>
        <w:br/>
        <w:t>| FR-11    | 查看用户权限功能       | 可行   | 查询条件支持返回权限分配历史和变更记录。                                 |</w:t>
        <w:br/>
        <w:t>| FR-12    | 新建审批功能           | 可行   | 审批类型和内容满足创建流程实例的基本要求。                               |</w:t>
        <w:br/>
        <w:t>| FR-13    | 查看审批状态功能       | 可行   | 输入审批编号后，可通过流程引擎返回状态和预测时间。                       |</w:t>
        <w:br/>
        <w:t>| FR-14    | 修改审批内容功能       | 可行   | 修改后的内容需重新触发审批流程，输入足够。                               |</w:t>
        <w:br/>
        <w:t>| FR-15    | 删除审批记录功能       | 可行   | 逻辑删除需标记状态，支持性文件满足审计要求。                             |</w:t>
        <w:br/>
        <w:t>| FR-16    | 生成资产报告功能       | 不可行 | 缺少数据源定义和报告模板，无法确保生成结构化文档（如财务折旧公式未说明）。|</w:t>
        <w:br/>
        <w:t>| FR-17    | 查看资产报告功能       | 可行   | 假设报告已生成，输入报告编号即可返回视图和图表。                         |</w:t>
        <w:br/>
        <w:t>| FR-18    | 管理转移记录功能       | 可行   | 输入管理操作（如修改备注）可触发审批流程更新记录。                       |</w:t>
        <w:br/>
        <w:t>| FR-19    | 管理归还记录功能       | 可行   | 修正验收备注和关联折旧计算需审批，输入操作明确。                         |</w:t>
        <w:br/>
        <w:t>| FR-20    | 管理审批记录功能       | 可行   | 标记和导出审计包操作可通过系统接口实现。                                 |</w:t>
        <w:br/>
        <w:t>| FR-21    | 管理权限信息功能       | 可行   | 调整权限作用域需审批，输入操作定义清晰。                                 |</w:t>
        <w:br/>
        <w:br/>
        <w:t>---</w:t>
        <w:br/>
        <w:br/>
        <w:t>### 关键结论</w:t>
        <w:br/>
        <w:t>- **可行需求（20项）**：大部分功能输入条件完整，逻辑清晰，可通过数据库操作和审批流程实现。</w:t>
        <w:br/>
        <w:t xml:space="preserve">- **不可行需求（1项）**：  </w:t>
        <w:br/>
        <w:t xml:space="preserve">  **FR-16（生成资产报告）**：缺少数据源定义（如财务折旧算法未说明）、可视化方案未明确（如交互式图表依赖第三方库？），需补充报告模板或参数约束。</w:t>
        <w:br/>
        <w:br/>
        <w:t>### 建议改进</w:t>
        <w:br/>
        <w:t>- **FR-16**：需补充财务折旧规则、可视化工具集成说明（如ECharts）、报告模板示例。</w:t>
        <w:br/>
        <w:t>- **FR-03**：需明确“待入库检查”状态后的处理流程（如验收标准或自动化检查机制）。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