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评估文档</w:t>
      </w:r>
    </w:p>
    <w:p>
      <w:pPr>
        <w:pStyle w:val="Heading1"/>
      </w:pPr>
      <w:r>
        <w:t>Complete Analysis</w:t>
      </w:r>
    </w:p>
    <w:p>
      <w:r>
        <w:t>以下是对各功能点是否符合完整引用定义的评估结果：</w:t>
        <w:br/>
        <w:br/>
        <w:t>---</w:t>
        <w:br/>
        <w:br/>
        <w:t>#### **FR-01 资产登记功能**</w:t>
        <w:br/>
        <w:t xml:space="preserve">**符合**  </w:t>
        <w:br/>
        <w:t>输入（资产名称、类别、规格、购置日期等）和输出（资产编号、登记记录、报表更新）均在需求说明书中明确定义，未引用外部未定义内容。</w:t>
        <w:br/>
        <w:br/>
        <w:t>---</w:t>
        <w:br/>
        <w:br/>
        <w:t>#### **FR-02 资产查询功能**</w:t>
        <w:br/>
        <w:t xml:space="preserve">**符合**  </w:t>
        <w:br/>
        <w:t>输入（资产编号、名称、状态等）和输出（资产列表、统计图表）均在需求中定义，查询逻辑未依赖外部系统。</w:t>
        <w:br/>
        <w:br/>
        <w:t>---</w:t>
        <w:br/>
        <w:br/>
        <w:t>#### **FR-03 资产修改功能**</w:t>
        <w:br/>
        <w:t xml:space="preserve">**符合**  </w:t>
        <w:br/>
        <w:t>输入（修改后的规格、部门、状态）和输出（更新记录、报表更新）均为系统内部定义，未引用外部功能。</w:t>
        <w:br/>
        <w:br/>
        <w:t>---</w:t>
        <w:br/>
        <w:br/>
        <w:t>#### **FR-04 资产删除功能**</w:t>
        <w:br/>
        <w:t xml:space="preserve">**符合**  </w:t>
        <w:br/>
        <w:t>逻辑删除标记和操作日志属于系统内部逻辑，输入（删除原因）和输出（删除记录）已明确。</w:t>
        <w:br/>
        <w:br/>
        <w:t>---</w:t>
        <w:br/>
        <w:br/>
        <w:t>#### **FR-05 用户新建功能**</w:t>
        <w:br/>
        <w:t xml:space="preserve">**部分符合**  </w:t>
        <w:br/>
        <w:t>输出中的“初始密码发送邮件”依赖外部邮件系统接口（已在2.4通信接口中定义），但邮件内容模板未详细说明，可能存在隐含依赖。</w:t>
        <w:br/>
        <w:br/>
        <w:t>---</w:t>
        <w:br/>
        <w:br/>
        <w:t>#### **FR-06 用户查询功能**</w:t>
        <w:br/>
        <w:t xml:space="preserve">**符合**  </w:t>
        <w:br/>
        <w:t>输入（工号、姓名、部门）和输出（用户列表、分析图表）均在需求中定义，无外部引用。</w:t>
        <w:br/>
        <w:br/>
        <w:t>---</w:t>
        <w:br/>
        <w:br/>
        <w:t>#### **FR-07 用户修改功能**</w:t>
        <w:br/>
        <w:t xml:space="preserve">**符合**  </w:t>
        <w:br/>
        <w:t>输入（部门、角色权限等）和输出（变更日志）均为系统内部逻辑，审计流程已涵盖。</w:t>
        <w:br/>
        <w:br/>
        <w:t>---</w:t>
        <w:br/>
        <w:br/>
        <w:t>#### **FR-08 用户删除功能**</w:t>
        <w:br/>
        <w:t xml:space="preserve">**符合**  </w:t>
        <w:br/>
        <w:t>逻辑删除标记和审计日志属于系统内部操作，输入（删除原因）已明确。</w:t>
        <w:br/>
        <w:br/>
        <w:t>---</w:t>
        <w:br/>
        <w:br/>
        <w:t>#### **FR-09 审批记录提交功能**</w:t>
        <w:br/>
        <w:t xml:space="preserve">**部分符合**  </w:t>
        <w:br/>
        <w:t>输入中的“电子签名”和“补充材料”未在需求中详细定义（如签名验证机制），可能依赖外部安全模块。</w:t>
        <w:br/>
        <w:br/>
        <w:t>---</w:t>
        <w:br/>
        <w:br/>
        <w:t>#### **FR-10 审批记录查询功能**</w:t>
        <w:br/>
        <w:t xml:space="preserve">**符合**  </w:t>
        <w:br/>
        <w:t>输入（审批编号、业务类型）和输出（记录列表、效率图表）均已在需求中说明。</w:t>
        <w:br/>
        <w:br/>
        <w:t>---</w:t>
        <w:br/>
        <w:br/>
        <w:t>#### **FR-11 审批记录修改功能**</w:t>
        <w:br/>
        <w:t xml:space="preserve">**符合**  </w:t>
        <w:br/>
        <w:t>输入（审批意见、签名）和输出（修改日志）为系统内部流程，无外部依赖。</w:t>
        <w:br/>
        <w:br/>
        <w:t>---</w:t>
        <w:br/>
        <w:br/>
        <w:t>#### **FR-12 审批记录删除功能**</w:t>
        <w:br/>
        <w:t xml:space="preserve">**符合**  </w:t>
        <w:br/>
        <w:t>逻辑删除标记和审计日志属于系统内部定义，输入（删除原因）已明确。</w:t>
        <w:br/>
        <w:br/>
        <w:t>---</w:t>
        <w:br/>
        <w:br/>
        <w:t>#### **FR-13 报表生成功能**</w:t>
        <w:br/>
        <w:t xml:space="preserve">**符合**  </w:t>
        <w:br/>
        <w:t>输入（报表类型、时间范围）和输出（文件格式）均明确定义，未引用外部工具。</w:t>
        <w:br/>
        <w:br/>
        <w:t>---</w:t>
        <w:br/>
        <w:br/>
        <w:t>#### **FR-14 报表查询功能**</w:t>
        <w:br/>
        <w:t xml:space="preserve">**符合**  </w:t>
        <w:br/>
        <w:t>输入（报表类型、版本）和输出（预览、下载）均在需求中定义。</w:t>
        <w:br/>
        <w:br/>
        <w:t>---</w:t>
        <w:br/>
        <w:br/>
        <w:t>#### **FR-15 报表修改功能**</w:t>
        <w:br/>
        <w:t xml:space="preserve">**符合**  </w:t>
        <w:br/>
        <w:t>输入（数据维度、图表类型）和输出（更新后的报表）为系统内部操作。</w:t>
        <w:br/>
        <w:br/>
        <w:t>---</w:t>
        <w:br/>
        <w:br/>
        <w:t>#### **FR-16 报表删除功能**</w:t>
        <w:br/>
        <w:t xml:space="preserve">**符合**  </w:t>
        <w:br/>
        <w:t>逻辑删除标记和删除记录属于系统内部逻辑，输入（删除原因）已定义。</w:t>
        <w:br/>
        <w:br/>
        <w:t>---</w:t>
        <w:br/>
        <w:br/>
        <w:t>#### **FR-17 业务流程记录查询功能**</w:t>
        <w:br/>
        <w:t xml:space="preserve">**部分符合**  </w:t>
        <w:br/>
        <w:t>输出中的“流程图展示”可能依赖未说明的可视化工具或外部库。</w:t>
        <w:br/>
        <w:br/>
        <w:t>---</w:t>
        <w:br/>
        <w:br/>
        <w:t>#### **FR-18 业务流程记录修改功能**</w:t>
        <w:br/>
        <w:t xml:space="preserve">**符合**  </w:t>
        <w:br/>
        <w:t>输入（流程节点、表单字段）和输出（流程更新）为系统内部定义。</w:t>
        <w:br/>
        <w:br/>
        <w:t>---</w:t>
        <w:br/>
        <w:br/>
        <w:t>#### **FR-19 业务流程记录删除功能**</w:t>
        <w:br/>
        <w:t xml:space="preserve">**符合**  </w:t>
        <w:br/>
        <w:t>逻辑删除标记和删除记录属于系统内部逻辑，输入（删除原因）已明确。</w:t>
        <w:br/>
        <w:br/>
        <w:t>---</w:t>
        <w:br/>
        <w:br/>
        <w:t>#### **FR-20 用户登录记录查询功能**</w:t>
        <w:br/>
        <w:t xml:space="preserve">**符合**  </w:t>
        <w:br/>
        <w:t>输入（IP地址、时间范围）和输出（分析图表）均明确定义，脱敏处理为内部逻辑。</w:t>
        <w:br/>
        <w:br/>
        <w:t>---</w:t>
        <w:br/>
        <w:br/>
        <w:t>#### **FR-21 用户登录记录修改功能**</w:t>
        <w:br/>
        <w:t xml:space="preserve">**部分符合**  </w:t>
        <w:br/>
        <w:t>输入中的“IP地址”修改可能涉及未定义的网络审计规则或外部安全策略。</w:t>
        <w:br/>
        <w:br/>
        <w:t>---</w:t>
        <w:br/>
        <w:br/>
        <w:t>#### **FR-22 用户登录记录删除功能**</w:t>
        <w:br/>
        <w:t xml:space="preserve">**符合**  </w:t>
        <w:br/>
        <w:t>逻辑删除标记和删除记录属于系统内部操作，输入（删除原因）已定义。</w:t>
        <w:br/>
        <w:br/>
        <w:t>---</w:t>
        <w:br/>
        <w:br/>
        <w:t>### **总结**</w:t>
        <w:br/>
        <w:t xml:space="preserve">- **完全符合**的功能点：FR-01~FR-04、FR-06~FR-08、FR-10~FR-16、FR-18~FR-20、FR-22  </w:t>
        <w:br/>
        <w:t xml:space="preserve">- **部分符合**的功能点：FR-05（邮件模板依赖）、FR-09（电子签名机制）、FR-17（可视化工具）、FR-21（安全策略依赖）  </w:t>
        <w:br/>
        <w:br/>
        <w:t>部分符合的功能点需补充外部接口或内部实现的详细说明以满足完整引用要求。</w:t>
      </w:r>
    </w:p>
    <w:p>
      <w:pPr>
        <w:pStyle w:val="Heading1"/>
      </w:pPr>
      <w:r>
        <w:t>Feasible Analysis</w:t>
      </w:r>
    </w:p>
    <w:p>
      <w:r>
        <w:t>根据功能需求文档中的输入输出定义和可行性标准，以下是对24项功能需求的可行性评估结果：</w:t>
        <w:br/>
        <w:br/>
        <w:t>| **功能编号** | **可行性** | **判断理由** |</w:t>
        <w:br/>
        <w:t>|--------------|------------|--------------|</w:t>
        <w:br/>
        <w:t>| FR-01        | 可行       | 生成唯一资产编号和存储结构化数据是基础功能，技术成熟 |</w:t>
        <w:br/>
        <w:t>| FR-02        | 可行       | 多条件查询与统计图表展示可通过数据库查询+可视化工具实现 |</w:t>
        <w:br/>
        <w:t>| FR-03        | 可行       | 修改记录功能可通过数据库触发器或日志表实现 |</w:t>
        <w:br/>
        <w:t>| FR-04        | 可行       | 逻辑删除是常见设计模式，通过标记字段实现 |</w:t>
        <w:br/>
        <w:t>| FR-05        | 可行       | 需集成邮件系统发送初始密码，但接口技术成熟 |</w:t>
        <w:br/>
        <w:t>| FR-06        | 可行       | 用户查询功能实现方式与资产查询类似 |</w:t>
        <w:br/>
        <w:t>| FR-07        | 可行       | 变更审计日志可通过数据库审计功能实现 |</w:t>
        <w:br/>
        <w:t>| FR-08        | 可行       | 逻辑删除与FR-04原理相同 |</w:t>
        <w:br/>
        <w:t>| FR-09        | 可行       | 电子签名可采用数字证书技术，补充材料支持文件上传 |</w:t>
        <w:br/>
        <w:t>| FR-10        | 可行       | 多维展示可通过标签化数据+BI工具实现 |</w:t>
        <w:br/>
        <w:t>| FR-11        | 有条件可行 | 需严格权限控制，修改审批记录可能影响流程完整性（需补充约束条件） |</w:t>
        <w:br/>
        <w:t>| FR-12        | 可行       | 逻辑删除机制与前述删除功能一致 |</w:t>
        <w:br/>
        <w:t>| FR-13        | 可行       | 报表引擎（如JasperReports）支持多格式输出 |</w:t>
        <w:br/>
        <w:t>| FR-14        | 可行       | 与FR-02查询功能实现原理相同 |</w:t>
        <w:br/>
        <w:t>| FR-15        | 有条件可行 | 需版本控制机制防止数据篡改（需补充版本管理） |</w:t>
        <w:br/>
        <w:t>| FR-16        | 可行       | 逻辑删除机制通用 |</w:t>
        <w:br/>
        <w:t>| FR-17        | 可行       | 流程引擎（如Activiti）可提供可视化支持 |</w:t>
        <w:br/>
        <w:t>| FR-18        | 有条件可行 | 流程记录修改需保证流程完整性（需补充校验规则） |</w:t>
        <w:br/>
        <w:t>| FR-19        | 可行       | 逻辑删除机制通用 |</w:t>
        <w:br/>
        <w:t>| FR-20        | 可行       | 登录日志脱敏可通过数据掩码技术实现 |</w:t>
        <w:br/>
        <w:t>| FR-21        | 有条件可行 | 登录记录修改需严格审计（需补充双重验证机制） |</w:t>
        <w:br/>
        <w:t>| FR-22        | 可行       | 逻辑删除机制通用 |</w:t>
        <w:br/>
        <w:br/>
        <w:t>### 不可行需求说明</w:t>
        <w:br/>
        <w:t>无完全不可行需求，但以下需求需要补充约束条件：</w:t>
        <w:br/>
        <w:t>1. **FR-11（审批记录修改）**：需增加"仅允许修改未完结流程的审批记录"的限制</w:t>
        <w:br/>
        <w:t>2. **FR-15（报表修改）**：需增加"仅允许修改未发布的报表版本"的限制</w:t>
        <w:br/>
        <w:t>3. **FR-18（流程记录修改）**：需增加"修改后需重新验证流程完整性"的规则</w:t>
        <w:br/>
        <w:t>4. **FR-21（登录记录修改）**：需增加"需安全管理员二次确认"的审批机制</w:t>
        <w:br/>
        <w:br/>
        <w:t>### 关键依赖说明</w:t>
        <w:br/>
        <w:t>1. 邮件系统接口的可用性（影响FR-05）</w:t>
        <w:br/>
        <w:t>2. 电子签名合法性认证（影响FR-09）</w:t>
        <w:br/>
        <w:t>3. 流程引擎的集成深度（影响FR-17/18）</w:t>
        <w:br/>
        <w:t>4. 脱敏算法的合规性（影响FR-20）</w:t>
        <w:br/>
        <w:br/>
        <w:t>以上评估基于当前主流技术实现能力，实际开发中需重点关注带约束条件的功能实现。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