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根据系统需求规约说明书定义，以下是所有30项功能点的完整引用判断及理由分析：</w:t>
        <w:br/>
        <w:br/>
        <w:t>---</w:t>
        <w:br/>
        <w:t>### **核心判定标准**</w:t>
        <w:br/>
        <w:t>完全符合条件需满足：</w:t>
        <w:br/>
        <w:t>1. 所有输入参数在需求规约中明确定义</w:t>
        <w:br/>
        <w:t>2. 所有输出结果在需求规约中有对应说明</w:t>
        <w:br/>
        <w:t>3. 不涉及未定义的第三方功能或外部数据源</w:t>
        <w:br/>
        <w:br/>
        <w:t>---</w:t>
        <w:br/>
        <w:t>### **逐项分析**</w:t>
        <w:br/>
        <w:br/>
        <w:t>#### **FR-01 资产登记功能**（完整引用）</w:t>
        <w:br/>
        <w:t>- 输入：资产名称、规格型号、购置日期、所属部门均通过资产管理界面定义</w:t>
        <w:br/>
        <w:t>- 输出：新增资产信息与2.1.2界面输出对应，资产编号生成逻辑在FR-01自身定义</w:t>
        <w:br/>
        <w:br/>
        <w:t>#### **FR-02 资产修改功能**（完整引用）</w:t>
        <w:br/>
        <w:t>- 输入：资产编号由FR-01生成，目标部门有效性验证通过FR-13~FR-17实现</w:t>
        <w:br/>
        <w:t>- 输出：操作记录对应数据库接口中的更新操作</w:t>
        <w:br/>
        <w:br/>
        <w:t>#### **FR-03 资产删除功能**（完整引用）</w:t>
        <w:br/>
        <w:t>- 输入：资产编号已在FR-01定义</w:t>
        <w:br/>
        <w:t>- 输出：状态更新与数据库接口的删除操作对应</w:t>
        <w:br/>
        <w:br/>
        <w:t>#### **FR-04 资产查看功能**（完整引用）</w:t>
        <w:br/>
        <w:t>- 输入：筛选条件在2.1.2界面定义</w:t>
        <w:br/>
        <w:t>- 输出：查看记录通过数据库接口实现</w:t>
        <w:br/>
        <w:br/>
        <w:t>#### **FR-05 资产状态更新**（完整引用）</w:t>
        <w:br/>
        <w:t>- 输入：状态转换合法性属于系统内部逻辑</w:t>
        <w:br/>
        <w:t>- 输出：通知机制通过2.4.2邮件接口实现</w:t>
        <w:br/>
        <w:br/>
        <w:t>#### **FR-06 资产报废功能**（完整引用）</w:t>
        <w:br/>
        <w:t>- 输入：报废条件隐含在资产状态机中</w:t>
        <w:br/>
        <w:t>- 输出：解除绑定关系通过数据库操作实现</w:t>
        <w:br/>
        <w:br/>
        <w:t>#### **FR-07 用户注册功能**（完整引用）</w:t>
        <w:br/>
        <w:t>- 输入：注册信息通过用户管理界面定义</w:t>
        <w:br/>
        <w:t>- 输出：用户与部门关联通过FR-13~FR-17实现</w:t>
        <w:br/>
        <w:br/>
        <w:t>#### **FR-08 用户登录功能**（完整引用）</w:t>
        <w:br/>
        <w:t>- 输入：验证码机制在2.1.1登录界面定义</w:t>
        <w:br/>
        <w:t>- 输出：权限加载通过FR-11权限分配实现</w:t>
        <w:br/>
        <w:br/>
        <w:t>#### **FR-09 用户信息修改**（完整引用）</w:t>
        <w:br/>
        <w:t>- 输入：用户ID由FR-07生成</w:t>
        <w:br/>
        <w:t>- 输出：部门有效性验证通过FR-13~FR-17实现</w:t>
        <w:br/>
        <w:br/>
        <w:t>#### **FR-10 用户注销功能**（完整引用）</w:t>
        <w:br/>
        <w:t>- 输入：用户状态机制属于系统内部逻辑</w:t>
        <w:br/>
        <w:t>- 输出：关联解除通过数据库操作完成</w:t>
        <w:br/>
        <w:br/>
        <w:t>#### **FR-11 权限分配功能**（部分完整）</w:t>
        <w:br/>
        <w:t>- 问题点：权限类型未在需求中明确定义（如"管理员""普通用户"等）</w:t>
        <w:br/>
        <w:t>- 其他输入输出均通过用户管理界面实现</w:t>
        <w:br/>
        <w:br/>
        <w:t>#### **FR-12 权限回收功能**（部分完整）</w:t>
        <w:br/>
        <w:t>- 问题点：同FR-11，权限类型定义不明确</w:t>
        <w:br/>
        <w:t>- 生效时间字段未在需求中明确定义</w:t>
        <w:br/>
        <w:br/>
        <w:t>#### **FR-13 部门创建功能**（完整引用）</w:t>
        <w:br/>
        <w:t>- 输入：上级部门关联通过FR-14~FR-16实现</w:t>
        <w:br/>
        <w:t>- 输出：部门ID生成逻辑自包含</w:t>
        <w:br/>
        <w:br/>
        <w:t>#### **FR-14 部门修改功能**（完整引用）</w:t>
        <w:br/>
        <w:t>- 输入：目标上级部门有效性通过FR-13~FR-16验证</w:t>
        <w:br/>
        <w:t>- 输出：更新操作对应数据库接口</w:t>
        <w:br/>
        <w:br/>
        <w:t>#### **FR-15 部门删除功能**（完整引用）</w:t>
        <w:br/>
        <w:t>- 输入：关联数据检查通过FR-17实现</w:t>
        <w:br/>
        <w:t>- 输出：状态更新属于系统内部逻辑</w:t>
        <w:br/>
        <w:br/>
        <w:t>#### **FR-16 部门信息查看**（完整引用）</w:t>
        <w:br/>
        <w:t>- 输入：筛选条件在2.1.3界面定义</w:t>
        <w:br/>
        <w:t>- 输出：日志记录通过数据库接口实现</w:t>
        <w:br/>
        <w:br/>
        <w:t>#### **FR-17 资产归属调整**（完整引用）</w:t>
        <w:br/>
        <w:t>- 输入：目标部门有效性通过FR-13~FR-16验证</w:t>
        <w:br/>
        <w:t>- 输出：调整记录对应数据库操作</w:t>
        <w:br/>
        <w:br/>
        <w:t>#### **FR-18 使用申请提交**（完整引用）</w:t>
        <w:br/>
        <w:t>- 输入：资产状态验证通过FR-05实现</w:t>
        <w:br/>
        <w:t>- 输出：审批通知通过邮件接口实现</w:t>
        <w:br/>
        <w:br/>
        <w:t>#### **FR-19 使用申请取消**（完整引用）</w:t>
        <w:br/>
        <w:t>- 输入：申请状态验证属于系统内部逻辑</w:t>
        <w:br/>
        <w:t>- 输出：取消通知通过邮件接口实现</w:t>
        <w:br/>
        <w:br/>
        <w:t>#### **FR-20 使用申请查看**（完整引用）</w:t>
        <w:br/>
        <w:t>- 输入：筛选条件在2.1.4界面定义</w:t>
        <w:br/>
        <w:t>- 输出：详情信息通过数据库接口实现</w:t>
        <w:br/>
        <w:br/>
        <w:t>#### **FR-21 转移申请提交**（完整引用）</w:t>
        <w:br/>
        <w:t>- 输入：部门有效性验证通过FR-13~FR-16实现</w:t>
        <w:br/>
        <w:t>- 输出：审批流程对应FR-29定义</w:t>
        <w:br/>
        <w:br/>
        <w:t>#### **FR-22 转移申请取消**（完整引用）</w:t>
        <w:br/>
        <w:t>- 逻辑同FR-19，符合完整引用条件</w:t>
        <w:br/>
        <w:br/>
        <w:t>#### **FR-23 转移申请查看**（完整引用）</w:t>
        <w:br/>
        <w:t>- 逻辑同FR-20，符合完整引用条件</w:t>
        <w:br/>
        <w:br/>
        <w:t>#### **FR-24 归还申请提交**（完整引用）</w:t>
        <w:br/>
        <w:t>- 输入：资产状态验证通过FR-05实现</w:t>
        <w:br/>
        <w:t>- 输出：审批流程符合FR-29定义</w:t>
        <w:br/>
        <w:br/>
        <w:t>#### **FR-25 归还申请取消**（完整引用）</w:t>
        <w:br/>
        <w:t>- 逻辑同FR-19，符合完整引用条件</w:t>
        <w:br/>
        <w:br/>
        <w:t>#### **FR-26 归还申请查看**（完整引用）</w:t>
        <w:br/>
        <w:t>- 逻辑同FR-20，符合完整引用条件</w:t>
        <w:br/>
        <w:br/>
        <w:t>#### **FR-27 报表生成功能**（完整引用）</w:t>
        <w:br/>
        <w:t>- 输入：输出格式在2.3.2文件导出接口定义</w:t>
        <w:br/>
        <w:t>- 输出：文件生成通过2.3.2接口实现</w:t>
        <w:br/>
        <w:br/>
        <w:t>#### **FR-28 数据导出功能**（完整引用）</w:t>
        <w:br/>
        <w:t>- 输入：数据类型在2.3.2接口定义</w:t>
        <w:br/>
        <w:t>- 输出：文件格式符合接口规范</w:t>
        <w:br/>
        <w:br/>
        <w:t>#### **FR-29 审批流程查看**（完整引用）</w:t>
        <w:br/>
        <w:t>- 输入：审批类型对应FR-18~FR-26</w:t>
        <w:br/>
        <w:t>- 输出：详情信息通过数据库接口获取</w:t>
        <w:br/>
        <w:br/>
        <w:t>#### **FR-30 审批记录管理**（完整引用）</w:t>
        <w:br/>
        <w:t>- 输入：操作类型在需求中明确定义</w:t>
        <w:br/>
        <w:t>- 输出：管理日志通过数据库接口记录</w:t>
        <w:br/>
        <w:br/>
        <w:t>---</w:t>
        <w:br/>
        <w:t>### **最终结论**</w:t>
        <w:br/>
        <w:t>- **完全符合**：FR-01至FR-10、FR-13至FR-30（除FR-11/12外）</w:t>
        <w:br/>
        <w:t>- **部分符合**：FR-11权限分配、FR-12权限回收（因权限类型定义不明确）</w:t>
        <w:br/>
        <w:t>- **不存在不符合项**，所有功能点均未引用外部未定义的功能模块</w:t>
      </w:r>
    </w:p>
    <w:p>
      <w:pPr>
        <w:pStyle w:val="Heading1"/>
      </w:pPr>
      <w:r>
        <w:t>Feasible Analysis</w:t>
      </w:r>
    </w:p>
    <w:p>
      <w:r>
        <w:t>以下是对功能需求可操作性的详细分析及统计结果：</w:t>
        <w:br/>
        <w:br/>
        <w:t>### 可操作性分析表</w:t>
        <w:br/>
        <w:t>| 功能编号 | 是否可操作 | 判断理由 |</w:t>
        <w:br/>
        <w:t>|----------|------------|----------|</w:t>
        <w:br/>
        <w:t>| FR-01    | ✅ 可操作 | 输入字段完整（资产名称、规格型号、购置日期、所属部门），系统能通过部门有效性验证生成唯一资产编号，逻辑闭环 |</w:t>
        <w:br/>
        <w:t>| FR-02    | ✅ 可操作 | 资产编号+修改信息+目标部门足够定位资产并验证部门，操作记录生成符合逻辑 |</w:t>
        <w:br/>
        <w:t>| FR-03    | ✅ 可操作 | 资产编号唯一标识资产，状态验证和关联解除可通过系统内部逻辑实现 |</w:t>
        <w:br/>
        <w:t>| FR-04    | ✅ 可操作 | 查询条件明确（资产编号/名称/部门/状态），权限验证机制已内置于系统 |</w:t>
        <w:br/>
        <w:t>| FR-05    | ⚠️ 部分可操作 | 缺少状态转换规则定义（如"可用"能否直接变"报废"），但基础操作可实现 |</w:t>
        <w:br/>
        <w:t>| FR-06    | ✅ 可操作 | 明确报废条件（需系统预设规则），输入资产编号+原因+日期可完成操作 |</w:t>
        <w:br/>
        <w:t>| FR-07    | ✅ 可操作 | 注册信息完整，部门有效性验证内置，用户ID生成机制明确 |</w:t>
        <w:br/>
        <w:t>| FR-08    | ⚠️ 部分可操作 | 验证码生成/验证机制未说明，但基础登录流程可实现 |</w:t>
        <w:br/>
        <w:t>| FR-09    | ✅ 可操作 | 用户ID+修改信息+目标部门足够定位用户并验证部门有效性 |</w:t>
        <w:br/>
        <w:t>| FR-10    | ✅ 可操作 | 用户ID+注销原因足够触发状态变更和关联解除 |</w:t>
        <w:br/>
        <w:t>| FR-11    | ⚠️ 部分可操作 | 权限类型未明确定义（如"资产管理权限"需预设），但分配机制逻辑成立 |</w:t>
        <w:br/>
        <w:t>| FR-12    | ⚠️ 部分可操作 | 回收权限需要明确权限清单，生效时间字段需时间格式验证 |</w:t>
        <w:br/>
        <w:t>| FR-13    | ✅ 可操作 | 部门名称+编码+上级部门信息完整，唯一性验证可内置 |</w:t>
        <w:br/>
        <w:t>| FR-14    | ✅ 可操作 | 部门ID+修改信息足够定位部门并验证有效性 |</w:t>
        <w:br/>
        <w:t>| FR-15    | ✅ 可操作 | 部门ID唯一标识，关联数据检查机制已内置 |</w:t>
        <w:br/>
        <w:t>| FR-16    | ✅ 可操作 | 查询条件明确，权限验证流程完整 |</w:t>
        <w:br/>
        <w:t>| FR-17    | ✅ 可操作 | 资产ID+目标部门+原因足够触发归属调整流程 |</w:t>
        <w:br/>
        <w:t>| FR-18    | ✅ 可操作 | 资产状态/部门有效性验证机制可内置，审批通知流程完整 |</w:t>
        <w:br/>
        <w:t>| FR-19    | ✅ 可操作 | 申请ID+原因足够定位申请并变更状态 |</w:t>
        <w:br/>
        <w:t>| FR-20    | ✅ 可操作 | 查询条件明确，权限验证机制完整 |</w:t>
        <w:br/>
        <w:t>| FR-21    | ✅ 可操作 | 输入字段完整，状态变更和审批通知流程明确 |</w:t>
        <w:br/>
        <w:t>| FR-22    | ✅ 可操作 | 申请ID+原因足够触发取消操作 |</w:t>
        <w:br/>
        <w:t>| FR-23    | ✅ 可操作 | 查询条件明确，权限验证机制完整 |</w:t>
        <w:br/>
        <w:t>| FR-24    | ✅ 可操作 | 输入字段完整（资产ID/日期/说明），审批流程明确 |</w:t>
        <w:br/>
        <w:t>| FR-25    | ✅ 可操作 | 申请ID+原因足够触发取消操作 |</w:t>
        <w:br/>
        <w:t>| FR-26    | ✅ 可操作 | 查询条件明确，权限验证机制完整 |</w:t>
        <w:br/>
        <w:t>| FR-27    | ⚠️ 部分可操作 | 依赖报表模板预定义，筛选条件需要明确数据字段支持 |</w:t>
        <w:br/>
        <w:t>| FR-28    | ⚠️ 部分可操作 | 需预设支持的数据类型和格式，但基本导出逻辑成立 |</w:t>
        <w:br/>
        <w:t>| FR-29    | ✅ 可操作 | 筛选条件明确，权限验证机制完整 |</w:t>
        <w:br/>
        <w:t>| FR-30    | ✅ 可操作 | 审批ID+操作类型+参数足够完成记录管理操作 |</w:t>
        <w:br/>
        <w:br/>
        <w:t>---</w:t>
        <w:br/>
        <w:br/>
        <w:t>### 统计结果</w:t>
        <w:br/>
        <w:t>| 类别 | 数量 | 占比 |</w:t>
        <w:br/>
        <w:t>|------|------|------|</w:t>
        <w:br/>
        <w:t>| **完全可操作** | 24 | 80% |</w:t>
        <w:br/>
        <w:t>| **部分可操作** | 6 | 20% |</w:t>
        <w:br/>
        <w:t>| **不可操作** | 0 | 0% |</w:t>
        <w:br/>
        <w:br/>
        <w:t>---</w:t>
        <w:br/>
        <w:br/>
        <w:t>### 关键发现</w:t>
        <w:br/>
        <w:t>1. **状态管理依赖规则**：涉及状态变更的功能（FR-05/FR-06）需要补充状态转换矩阵</w:t>
        <w:br/>
        <w:t>2. **权限体系需细化**：权限类型（FR-11）和权限回收范围（FR-12）需明确分类标准</w:t>
        <w:br/>
        <w:t>3. **验证机制待完善**：登录功能（FR-08）需补充验证码生成规则</w:t>
        <w:br/>
        <w:t>4. **数据格式需规范**：报表生成（FR-27）和数据导出（FR-28）需定义支持的字段/格式白名单</w:t>
        <w:br/>
        <w:br/>
        <w:t>建议补充《状态转换规则》《权限分类清单》《验证码生成规范》等子文档以完善需求完整性。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