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以下是各功能点是否符合“完整引用”标准的判断结果：</w:t>
        <w:br/>
        <w:br/>
        <w:t>### 1.1 资产登记功能（FR-01）</w:t>
        <w:br/>
        <w:t xml:space="preserve">**符合**  </w:t>
        <w:br/>
        <w:t>- 输入字段（资产名称、类别等）均在功能需求中定义</w:t>
        <w:br/>
        <w:t>- 输出涉及数据库存储和审批流程，均在需求中明确定义（见2.3数据库接口和1.6审批功能）</w:t>
        <w:br/>
        <w:br/>
        <w:t>### 1.2 资产管理功能（FR-02）</w:t>
        <w:br/>
        <w:t xml:space="preserve">**符合**  </w:t>
        <w:br/>
        <w:t>- 输入为已登记的资产列表和修改内容，输出包含操作日志（需求中明确要求记录操作日志）</w:t>
        <w:br/>
        <w:t>- 审批流程引用的是已定义的FR-06功能</w:t>
        <w:br/>
        <w:br/>
        <w:t>### 1.3 资产转移功能（FR-03）</w:t>
        <w:br/>
        <w:t xml:space="preserve">**符合**  </w:t>
        <w:br/>
        <w:t>- 输入字段（目标部门、位置等）和合法性验证逻辑均基于需求定义</w:t>
        <w:br/>
        <w:t>- 输出涉及操作日志和审批流程（依赖FR-06）</w:t>
        <w:br/>
        <w:br/>
        <w:t>### 1.4 资产归还功能（FR-04）</w:t>
        <w:br/>
        <w:t xml:space="preserve">**符合**  </w:t>
        <w:br/>
        <w:t>- 输入/输出字段与操作日志均明确定义</w:t>
        <w:br/>
        <w:t>- 审批流程引用FR-06</w:t>
        <w:br/>
        <w:br/>
        <w:t>### 1.5 生成资产报表（FR-05）</w:t>
        <w:br/>
        <w:t xml:space="preserve">**符合**  </w:t>
        <w:br/>
        <w:t>- 筛选条件和输出格式（PDF/Excel）通过2.3报表工具接口实现</w:t>
        <w:br/>
        <w:t>- 数据权限控制依赖FR-07/FR-11功能</w:t>
        <w:br/>
        <w:br/>
        <w:t>### 1.6 审批资产申请（FR-06）</w:t>
        <w:br/>
        <w:t xml:space="preserve">**符合**  </w:t>
        <w:br/>
        <w:t>- 输入输出均基于已定义的审批流程（FR-14/FR-15）</w:t>
        <w:br/>
        <w:t>- 权限验证引用FR-12管理员权限管理</w:t>
        <w:br/>
        <w:br/>
        <w:t>### 1.7 资产权限分配（FR-07）</w:t>
        <w:br/>
        <w:t xml:space="preserve">**符合**  </w:t>
        <w:br/>
        <w:t>- 权限类型（登记/管理/转移等）在功能列表中明确定义</w:t>
        <w:br/>
        <w:t>- 生效机制（下次登录生效）属于系统内部逻辑，未引用外部规则</w:t>
        <w:br/>
        <w:br/>
        <w:t>### 1.8 资产数据导入（FR-08）</w:t>
        <w:br/>
        <w:t xml:space="preserve">**符合**  </w:t>
        <w:br/>
        <w:t>- Excel/CSV格式支持通过2.3数据导入导出工具实现</w:t>
        <w:br/>
        <w:t>- 字段验证基于FR-01定义的资产字段</w:t>
        <w:br/>
        <w:br/>
        <w:t>### 1.9 资产数据导出（FR-09）</w:t>
        <w:br/>
        <w:t xml:space="preserve">**符合**  </w:t>
        <w:br/>
        <w:t>- 筛选条件与FR-05一致，导出格式通过2.3接口实现</w:t>
        <w:br/>
        <w:br/>
        <w:t>### 1.10 用户管理（FR-10）</w:t>
        <w:br/>
        <w:t xml:space="preserve">**符合**  </w:t>
        <w:br/>
        <w:t>- 输入字段（用户角色、部门等）均明确定义</w:t>
        <w:br/>
        <w:t>- 审批流程引用FR-14</w:t>
        <w:br/>
        <w:br/>
        <w:t>### 1.11 用户权限管理（FR-11）</w:t>
        <w:br/>
        <w:t xml:space="preserve">**符合**  </w:t>
        <w:br/>
        <w:t>- 权限列表基于FR-07定义的操作类型</w:t>
        <w:br/>
        <w:t>- 生效机制与FR-07一致</w:t>
        <w:br/>
        <w:br/>
        <w:t>### 1.12 管理员权限管理（FR-12）</w:t>
        <w:br/>
        <w:t xml:space="preserve">**符合**  </w:t>
        <w:br/>
        <w:t>- 输入输出逻辑与FR-11一致，仅目标用户角色不同</w:t>
        <w:br/>
        <w:br/>
        <w:t>### 1.13 用户报表生成（FR-13）</w:t>
        <w:br/>
        <w:t xml:space="preserve">**符合**  </w:t>
        <w:br/>
        <w:t>- 筛选条件（用户角色/部门等）与FR-10输入字段对应</w:t>
        <w:br/>
        <w:t>- 输出格式通过2.3接口实现</w:t>
        <w:br/>
        <w:br/>
        <w:t>### 1.14 审批流程发起（FR-14）</w:t>
        <w:br/>
        <w:t xml:space="preserve">**符合**  </w:t>
        <w:br/>
        <w:t>- 依赖的审批规则在FR-06中定义</w:t>
        <w:br/>
        <w:t>- 输出状态更新与FR-15关联</w:t>
        <w:br/>
        <w:br/>
        <w:t>### 1.15 审批流程审批（FR-15）</w:t>
        <w:br/>
        <w:t xml:space="preserve">**符合**  </w:t>
        <w:br/>
        <w:t>- 输入输出与FR-06直接关联</w:t>
        <w:br/>
        <w:t>- 资产状态更新引用FR-02/FR-03等</w:t>
        <w:br/>
        <w:br/>
        <w:t>### 1.16 审批报表生成（FR-16）</w:t>
        <w:br/>
        <w:t xml:space="preserve">**符合**  </w:t>
        <w:br/>
        <w:t>- 筛选条件基于FR-14/FR-15的输入字段</w:t>
        <w:br/>
        <w:t>- 报表生成工具见2.3接口</w:t>
        <w:br/>
        <w:br/>
        <w:t>### 1.17 资产登记记录管理（FR-17）</w:t>
        <w:br/>
        <w:t xml:space="preserve">**符合**  </w:t>
        <w:br/>
        <w:t>- 记录的筛选和操作基于FR-01生成的数据</w:t>
        <w:br/>
        <w:t>- 操作日志引用FR-02同类机制</w:t>
        <w:br/>
        <w:br/>
        <w:t>### 1.18 资产转移记录管理（FR-18）</w:t>
        <w:br/>
        <w:t xml:space="preserve">**符合**  </w:t>
        <w:br/>
        <w:t>- 依赖FR-03生成的转移记录</w:t>
        <w:br/>
        <w:t>- 操作日志机制与FR-02一致</w:t>
        <w:br/>
        <w:br/>
        <w:t>### 1.19 系统日志管理（FR-19）</w:t>
        <w:br/>
        <w:t xml:space="preserve">**符合**  </w:t>
        <w:br/>
        <w:t>- 日志内容来自所有功能的操作记录（明确定义需记录日志）</w:t>
        <w:br/>
        <w:t>- 导出功能通过2.3接口实现</w:t>
        <w:br/>
        <w:br/>
        <w:t>### 1.20 审批历史记录管理（FR-20）</w:t>
        <w:br/>
        <w:t xml:space="preserve">**符合**  </w:t>
        <w:br/>
        <w:t>- 数据来源为FR-06/FR-15的审批记录</w:t>
        <w:br/>
        <w:t>- 筛选条件与FR-16一致</w:t>
        <w:br/>
        <w:br/>
        <w:t>### 总结</w:t>
        <w:br/>
        <w:t>所有20项功能需求均符合**完整引用**标准。判断依据为：</w:t>
        <w:br/>
        <w:t>1. 输入/输出字段均来源于需求文档定义的字段列表</w:t>
        <w:br/>
        <w:t>2. 外部依赖（数据库、邮件系统等）通过2.3-2.4接口明确定义</w:t>
        <w:br/>
        <w:t>3. 跨功能引用（如审批流程）均在需求范围内</w:t>
        <w:br/>
        <w:t>4. 未引入未说明的外部规则或数据源</w:t>
      </w:r>
    </w:p>
    <w:p>
      <w:pPr>
        <w:pStyle w:val="Heading1"/>
      </w:pPr>
      <w:r>
        <w:t>Feasible Analysis</w:t>
      </w:r>
    </w:p>
    <w:p>
      <w:r>
        <w:t>经过对功能需求的逐一分析，所有20项需求均满足“输入可达成所需输出转化”的可行性标准。以下是详细的可行性判断表格：</w:t>
        <w:br/>
        <w:br/>
        <w:t>| 功能编号 | 功能名称               | 可行性 | 判断理由                                                                                   |</w:t>
        <w:br/>
        <w:t>|----------|------------------------|--------|------------------------------------------------------------------------------------------|</w:t>
        <w:br/>
        <w:t>| FR-01    | 资产登记功能           | 可行   | 输入字段完整，验证逻辑明确，输出包含数据库存储和审批触发机制。                                      |</w:t>
        <w:br/>
        <w:t>| FR-02    | 资产管理功能           | 可行   | 操作类型定义清晰，日志记录和审批判断规则可实现。                                                |</w:t>
        <w:br/>
        <w:t>| FR-03    | 资产转移功能           | 可行   | 转移数据合法性验证可通过部门/位置校验实现，输出包含状态更新和流程记录。                              |</w:t>
        <w:br/>
        <w:t>| FR-04    | 资产归还功能           | 可行   | 归还状态验证逻辑明确，输出与转移功能类似。                                                      |</w:t>
        <w:br/>
        <w:t>| FR-05    | 生成资产报表功能       | 可行   | 标准筛选条件和报表生成技术成熟，权限控制可集成。                                                 |</w:t>
        <w:br/>
        <w:t>| FR-06    | 审批资产申请功能       | 可行   | 权限验证和状态更新机制明确，通知系统可集成邮件/消息模块。                                          |</w:t>
        <w:br/>
        <w:t>| FR-07    | 资产权限分配功能       | 可行   | 权限分配与生效机制属于常规RBAC模型范畴。                                                       |</w:t>
        <w:br/>
        <w:t>| FR-08    | 资产数据导入功能       | 可行   | 文件解析和批量导入为标准化功能，结果报表可生成。                                                 |</w:t>
        <w:br/>
        <w:t>| FR-09    | 资产数据导出功能       | 可行   | 与报表生成共享技术实现路径。                                                                   |</w:t>
        <w:br/>
        <w:t>| FR-10    | 用户管理功能           | 可行   | 用户字段完整，审批流程与账户创建流程可集成。                                                    |</w:t>
        <w:br/>
        <w:t>| FR-11    | 用户权限管理功能       | 可行   | 与FR-07同属权限管理模块，技术实现一致。                                                        |</w:t>
        <w:br/>
        <w:t>| FR-12    | 管理员权限管理功能     | 可行   | 需分层权限设计但技术可行，操作日志机制成熟。                                                    |</w:t>
        <w:br/>
        <w:t>| FR-13    | 用户报表生成功能       | 可行   | 与资产报表共享生成逻辑，权限控制机制复用。                                                      |</w:t>
        <w:br/>
        <w:t>| FR-14    | 审批流程发起功能       | 可行   | 流程引擎可配置审批规则，状态更新明确。                                                         |</w:t>
        <w:br/>
        <w:t>| FR-15    | 审批流程审批功能       | 可行   | 与FR-06审批机制同源，执行后续操作逻辑可实现。                                                   |</w:t>
        <w:br/>
        <w:t>| FR-16    | 审批报表生成功能       | 可行   | 筛选条件和报表生成技术同FR-05。                                                              |</w:t>
        <w:br/>
        <w:t>| FR-17    | 资产登记记录管理功能   | 可行   | CRUD操作和日志记录为系统基础功能。                                                            |</w:t>
        <w:br/>
        <w:t>| FR-18    | 资产转移记录管理功能   | 可行   | 同FR-17实现逻辑，数据对象不同但技术方案一致。                                                   |</w:t>
        <w:br/>
        <w:t>| FR-19    | 系统日志管理功能       | 可行   | 日志存储和检索为系统基础能力，导出功能同数据导出模块。                                            |</w:t>
        <w:br/>
        <w:t>| FR-20    | 审批历史记录管理功能   | 可行   | 与FR-19共享技术实现路径，仅数据对象不同。                                                      |</w:t>
        <w:br/>
        <w:br/>
        <w:t>### 可行性结论</w:t>
        <w:br/>
        <w:t>**所有20项功能需求均可行**，判断依据如下：</w:t>
        <w:br/>
        <w:t>1. **输入完整性**：每个功能点均明确定义了必要的输入字段，能够支撑输出生成所需的数据要素</w:t>
        <w:br/>
        <w:t>2. **技术可实现性**：</w:t>
        <w:br/>
        <w:t xml:space="preserve">   - 核心功能（CRUD、审批流、报表）依赖成熟技术方案</w:t>
        <w:br/>
        <w:t xml:space="preserve">   - 权限控制可通过RBAC模型实现</w:t>
        <w:br/>
        <w:t xml:space="preserve">   - 文件处理采用通用解析库（如Apache POI）</w:t>
        <w:br/>
        <w:t>3. **系统集成可行性**：</w:t>
        <w:br/>
        <w:t xml:space="preserve">   - 外部接口（数据库、邮件系统）采用标准协议</w:t>
        <w:br/>
        <w:t xml:space="preserve">   - 日志模块可基于现有框架（如Log4j）构建</w:t>
        <w:br/>
        <w:t>4. **流程完整性**：</w:t>
        <w:br/>
        <w:t xml:space="preserve">   - 包含完整的操作闭环（请求-处理-记录-通知）</w:t>
        <w:br/>
        <w:t xml:space="preserve">   - 审批流程状态机设计明确</w:t>
        <w:br/>
        <w:br/>
        <w:t>### 实施建议</w:t>
        <w:br/>
        <w:t>1. **优先级划分**：建议按核心业务流程（FR-01→FR-06→FR-14→FR-15）先行实施</w:t>
        <w:br/>
        <w:t>2. **技术选型**：</w:t>
        <w:br/>
        <w:t xml:space="preserve">   - 审批流程引擎：Activiti/Camunda</w:t>
        <w:br/>
        <w:t xml:space="preserve">   - 报表生成：Apache POI（Excel）、iText（PDF）</w:t>
        <w:br/>
        <w:t xml:space="preserve">   - 文件解析：OpenCSV/Alibaba EasyExcel</w:t>
        <w:br/>
        <w:t>3. **安全强化**：</w:t>
        <w:br/>
        <w:t xml:space="preserve">   - 数据导入需增加病毒扫描模块</w:t>
        <w:br/>
        <w:t xml:space="preserve">   - 敏感操作（如权限变更）建议增加二次认证</w:t>
        <w:br/>
        <w:t>4. **扩展性设计**：</w:t>
        <w:br/>
        <w:t xml:space="preserve">   - 审批规则建议采用可配置策略模式</w:t>
        <w:br/>
        <w:t xml:space="preserve">   - 报表模板建议支持自定义</w:t>
        <w:br/>
        <w:br/>
        <w:t>该需求文档功能设计完备，技术实现路径清晰，具备完整落地实施的基础条件。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