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根据完整引用定义（需求未引用未在规约中定义的功能/输入/输出），对46个功能点逐一分析如下：</w:t>
        <w:br/>
        <w:br/>
        <w:t>### **邮件通信功能**</w:t>
        <w:br/>
        <w:t xml:space="preserve">1. **FR-01 邮件发送**  </w:t>
        <w:br/>
        <w:t xml:space="preserve">   - 完整引用：是  </w:t>
        <w:br/>
        <w:t xml:space="preserve">   - 理由：输入输出均引用已定义的SMTP协议（2.2.1）、发件箱（2.1.1）、邮件流日志（FR-23）和备份日志（FR-25）</w:t>
        <w:br/>
        <w:br/>
        <w:t xml:space="preserve">2. **FR-02 邮件接收**  </w:t>
        <w:br/>
        <w:t xml:space="preserve">   - 完整引用：是  </w:t>
        <w:br/>
        <w:t xml:space="preserve">   - 理由：SPF/DKIM验证（2.2.1）、反垃圾过滤（2.3.2）、归档策略（FR-20）均在文档定义</w:t>
        <w:br/>
        <w:br/>
        <w:t xml:space="preserve">3. **FR-03 邮件搜索**  </w:t>
        <w:br/>
        <w:t xml:space="preserve">   - 完整引用：部分完整  </w:t>
        <w:br/>
        <w:t xml:space="preserve">   - 理由："搜索结果缓存"机制未在文档中明确定义</w:t>
        <w:br/>
        <w:br/>
        <w:t>---</w:t>
        <w:br/>
        <w:br/>
        <w:t>### **文件夹管理功能**</w:t>
        <w:br/>
        <w:t xml:space="preserve">4. **FR-04 创建文件夹**  </w:t>
        <w:br/>
        <w:t xml:space="preserve">   - 完整引用：是  </w:t>
        <w:br/>
        <w:t xml:space="preserve">   - 理由：权限配置（FR-17）、共享账户（FR-19）、归档策略（FR-20）均为已定义概念</w:t>
        <w:br/>
        <w:br/>
        <w:t xml:space="preserve">5. **FR-05 重命名文件夹**  </w:t>
        <w:br/>
        <w:t xml:space="preserve">   - 完整引用：是  </w:t>
        <w:br/>
        <w:t xml:space="preserve">   - 理由：树形结构（2.1.1）、移动端同步（2.1.2）在用户接口定义</w:t>
        <w:br/>
        <w:br/>
        <w:t xml:space="preserve">6. **FR-06 删除文件夹**  </w:t>
        <w:br/>
        <w:t xml:space="preserve">   - 完整引用：是  </w:t>
        <w:br/>
        <w:t xml:space="preserve">   - 理由：回收站机制（FR-06自身定义）、访问控制列表（FR-17）</w:t>
        <w:br/>
        <w:br/>
        <w:t>---</w:t>
        <w:br/>
        <w:br/>
        <w:t>### **联系人管理功能**</w:t>
        <w:br/>
        <w:t xml:space="preserve">7. **FR-07 创建联系人**  </w:t>
        <w:br/>
        <w:t xml:space="preserve">   - 完整引用：是  </w:t>
        <w:br/>
        <w:t xml:space="preserve">   - 理由：通讯组关联（FR-10）、审计日志（FR-38）在系统功能定义</w:t>
        <w:br/>
        <w:br/>
        <w:t xml:space="preserve">8. **FR-08 编辑联系人**  </w:t>
        <w:br/>
        <w:t xml:space="preserve">   - 完整引用：部分完整  </w:t>
        <w:br/>
        <w:t xml:space="preserve">   - 理由："修改差异报告"的生成规则未明确说明</w:t>
        <w:br/>
        <w:br/>
        <w:t xml:space="preserve">9. **FR-09 删除联系人**  </w:t>
        <w:br/>
        <w:t xml:space="preserve">   - 完整引用：是  </w:t>
        <w:br/>
        <w:t xml:space="preserve">   - 理由：回收站机制（FR-06）、提醒任务终止（FR-16）已定义</w:t>
        <w:br/>
        <w:br/>
        <w:t>---</w:t>
        <w:br/>
        <w:br/>
        <w:t>### **通讯组管理功能**</w:t>
        <w:br/>
        <w:t xml:space="preserve">10. **FR-10 新建通讯组**  </w:t>
        <w:br/>
        <w:t xml:space="preserve">    - 完整引用：是  </w:t>
        <w:br/>
        <w:t xml:space="preserve">    - 理由：动态组规则（FR-11）、邮件客户端缓存（2.1.1）已定义</w:t>
        <w:br/>
        <w:br/>
        <w:t xml:space="preserve">11. **FR-11 管理成员**  </w:t>
        <w:br/>
        <w:t xml:space="preserve">    - 完整引用：是  </w:t>
        <w:br/>
        <w:t xml:space="preserve">    - 理由：动态组筛选规则（FR-10）、成员变更日志（FR-38）</w:t>
        <w:br/>
        <w:br/>
        <w:t xml:space="preserve">12. **FR-12 导出通讯组**  </w:t>
        <w:br/>
        <w:t xml:space="preserve">    - 完整引用：部分完整  </w:t>
        <w:br/>
        <w:t xml:space="preserve">    - 理由：vCard格式支持未在文档接口部分明确定义</w:t>
        <w:br/>
        <w:br/>
        <w:t>---</w:t>
        <w:br/>
        <w:br/>
        <w:t>### **任务管理功能**</w:t>
        <w:br/>
        <w:t xml:space="preserve">13. **FR-13 创建任务**  </w:t>
        <w:br/>
        <w:t xml:space="preserve">    - 完整引用：是  </w:t>
        <w:br/>
        <w:t xml:space="preserve">    - 理由：甘特图（2.1.1）、共享账户同步（FR-19）已定义</w:t>
        <w:br/>
        <w:br/>
        <w:t xml:space="preserve">14. **FR-14 设置提醒**  </w:t>
        <w:br/>
        <w:t xml:space="preserve">    - 完整引用：部分完整  </w:t>
        <w:br/>
        <w:t xml:space="preserve">    - 理由："智能预测模式"的具体算法规则未说明</w:t>
        <w:br/>
        <w:br/>
        <w:t xml:space="preserve">15. **FR-15 修改状态**  </w:t>
        <w:br/>
        <w:t xml:space="preserve">    - 完整引用：是  </w:t>
        <w:br/>
        <w:t xml:space="preserve">    - 理由：状态变更历史（FR-38）、甘特图（2.1.1）已定义</w:t>
        <w:br/>
        <w:br/>
        <w:t xml:space="preserve">16. **FR-16 删除任务**  </w:t>
        <w:br/>
        <w:t xml:space="preserve">    - 完整引用：是  </w:t>
        <w:br/>
        <w:t xml:space="preserve">    - 理由：回收站机制（FR-06）、存储配额（FR-18）已覆盖</w:t>
        <w:br/>
        <w:br/>
        <w:t>---</w:t>
        <w:br/>
        <w:br/>
        <w:t>### **权限与账户管理**</w:t>
        <w:br/>
        <w:t xml:space="preserve">17. **FR-17 配置权限**  </w:t>
        <w:br/>
        <w:t xml:space="preserve">    - 完整引用：是  </w:t>
        <w:br/>
        <w:t xml:space="preserve">    - 理由：细粒度权限（FR-31）、ACL列表（2.3.1）已定义</w:t>
        <w:br/>
        <w:br/>
        <w:t xml:space="preserve">18. **FR-18 审批邮箱**  </w:t>
        <w:br/>
        <w:t xml:space="preserve">    - 完整引用：是  </w:t>
        <w:br/>
        <w:t xml:space="preserve">    - 理由：命名规范（FR-18自身定义）、存储配额（FR-33）</w:t>
        <w:br/>
        <w:br/>
        <w:t xml:space="preserve">19. **FR-19 删除账户**  </w:t>
        <w:br/>
        <w:t xml:space="preserve">    - 完整引用：是  </w:t>
        <w:br/>
        <w:t xml:space="preserve">    - 理由：延迟删除机制（FR-06）、归档策略解除（FR-20）</w:t>
        <w:br/>
        <w:br/>
        <w:t>---</w:t>
        <w:br/>
        <w:br/>
        <w:t>### **邮件归档与策略**（FR-20至FR-24）</w:t>
        <w:br/>
        <w:t xml:space="preserve">20. **FR-20 设置策略**  </w:t>
        <w:br/>
        <w:t xml:space="preserve">    - 完整引用：是  </w:t>
        <w:br/>
        <w:t xml:space="preserve">    - 理由：法律合规性（FR-44）、策略库（2.3.1）已定义</w:t>
        <w:br/>
        <w:br/>
        <w:t xml:space="preserve">21. **FR-21 分类归档**  </w:t>
        <w:br/>
        <w:t xml:space="preserve">    - 完整引用：部分完整  </w:t>
        <w:br/>
        <w:t xml:space="preserve">    - 理由："存储位置可用性验证"的具体方法未说明</w:t>
        <w:br/>
        <w:br/>
        <w:t xml:space="preserve">22. **FR-22 服务器归档**  </w:t>
        <w:br/>
        <w:t xml:space="preserve">    - 完整引用：是  </w:t>
        <w:br/>
        <w:t xml:space="preserve">    - 理由：存储优化（2.2.2）、备份验证（FR-33）已定义</w:t>
        <w:br/>
        <w:br/>
        <w:t xml:space="preserve">23. **FR-23 捕获邮件流**  </w:t>
        <w:br/>
        <w:t xml:space="preserve">    - 完整引用：是  </w:t>
        <w:br/>
        <w:t xml:space="preserve">    - 理由：协议解析（2.2.1）、流量特征（FR-28）已覆盖</w:t>
        <w:br/>
        <w:br/>
        <w:t xml:space="preserve">24. **FR-24 处理到期邮件**  </w:t>
        <w:br/>
        <w:t xml:space="preserve">    - 完整引用：是  </w:t>
        <w:br/>
        <w:t xml:space="preserve">    - 理由：预设规则（FR-20）、区块链存证（2.3.3）已定义</w:t>
        <w:br/>
        <w:br/>
        <w:t>---</w:t>
        <w:br/>
        <w:br/>
        <w:t>### **数据备份与恢复**（FR-25至FR-27）</w:t>
        <w:br/>
        <w:t xml:space="preserve">25. **FR-25 全量备份**  </w:t>
        <w:br/>
        <w:t xml:space="preserve">    - 完整引用：是  </w:t>
        <w:br/>
        <w:t xml:space="preserve">    - 理由：加密配置（FR-20）、灾备系统（2.2.2）已定义</w:t>
        <w:br/>
        <w:br/>
        <w:t xml:space="preserve">26. **FR-26 时间点恢复**  </w:t>
        <w:br/>
        <w:t xml:space="preserve">    - 完整引用：是  </w:t>
        <w:br/>
        <w:t xml:space="preserve">    - 理由：整库级恢复（FR-37）、完整性验证（FR-33）</w:t>
        <w:br/>
        <w:br/>
        <w:t xml:space="preserve">27. **FR-27 查看备份日志**  </w:t>
        <w:br/>
        <w:t xml:space="preserve">    - 完整引用：部分完整  </w:t>
        <w:br/>
        <w:t xml:space="preserve">    - 理由："异常模式检测"的具体算法未说明</w:t>
        <w:br/>
        <w:br/>
        <w:t>---</w:t>
        <w:br/>
        <w:br/>
        <w:t>### **系统监控与安全**（FR-28至FR-30）</w:t>
        <w:br/>
        <w:t xml:space="preserve">28. **FR-28 流量监控**  </w:t>
        <w:br/>
        <w:t xml:space="preserve">    - 完整引用：是  </w:t>
        <w:br/>
        <w:t xml:space="preserve">    - 理由：实时仪表盘（2.1.3）、安全防护（FR-43）已定义</w:t>
        <w:br/>
        <w:br/>
        <w:t xml:space="preserve">29. **FR-29 权限审计**  </w:t>
        <w:br/>
        <w:t xml:space="preserve">    - 完整引用：是  </w:t>
        <w:br/>
        <w:t xml:space="preserve">    - 理由：最小权限原则（FR-31）、审计系统（2.3.3）</w:t>
        <w:br/>
        <w:br/>
        <w:t xml:space="preserve">30. **FR-30 到期邮件审计**  </w:t>
        <w:br/>
        <w:t xml:space="preserve">    - 完整引用：是  </w:t>
        <w:br/>
        <w:t xml:space="preserve">    - 理由：合规标准（FR-44）、区块链存证（2.3.3）</w:t>
        <w:br/>
        <w:br/>
        <w:t>---</w:t>
        <w:br/>
        <w:br/>
        <w:t>### **系统维护管理**（FR-31至FR-35）</w:t>
        <w:br/>
        <w:t xml:space="preserve">31. **FR-31 分配权限**  </w:t>
        <w:br/>
        <w:t xml:space="preserve">    - 完整引用：是  </w:t>
        <w:br/>
        <w:t xml:space="preserve">    - 理由：RBAC数据库（2.3.1）、ACL列表（FR-17）</w:t>
        <w:br/>
        <w:br/>
        <w:t xml:space="preserve">32. **FR-32 管理权限**  </w:t>
        <w:br/>
        <w:t xml:space="preserve">    - 完整引用：部分完整  </w:t>
        <w:br/>
        <w:t xml:space="preserve">    - 理由："版本快照"的生成机制未明确</w:t>
        <w:br/>
        <w:br/>
        <w:t xml:space="preserve">33. **FR-33 验证备份**  </w:t>
        <w:br/>
        <w:t xml:space="preserve">    - 完整引用：是  </w:t>
        <w:br/>
        <w:t xml:space="preserve">    - 理由：抽样验证（FR-33自身定义）、健康状态（FR-25）</w:t>
        <w:br/>
        <w:br/>
        <w:t xml:space="preserve">34. **FR-34 批量归档**  </w:t>
        <w:br/>
        <w:t xml:space="preserve">    - 完整引用：是  </w:t>
        <w:br/>
        <w:t xml:space="preserve">    - 理由：邮件筛选条件（FR-03）、存储优化（FR-22）</w:t>
        <w:br/>
        <w:br/>
        <w:t xml:space="preserve">35. **FR-35 标记优先级**  </w:t>
        <w:br/>
        <w:t xml:space="preserve">    - 完整引用：是  </w:t>
        <w:br/>
        <w:t xml:space="preserve">    - 理由：处理时间设置（FR-14）、归档策略（FR-20）</w:t>
        <w:br/>
        <w:br/>
        <w:t>---</w:t>
        <w:br/>
        <w:br/>
        <w:t>### **系统兼容扩展**（FR-36至FR-38）</w:t>
        <w:br/>
        <w:t xml:space="preserve">36. **FR-36 邮件格式化**  </w:t>
        <w:br/>
        <w:t xml:space="preserve">    - 完整引用：部分完整  </w:t>
        <w:br/>
        <w:t xml:space="preserve">    - 理由："富文本格式化"的具体标准未说明</w:t>
        <w:br/>
        <w:br/>
        <w:t xml:space="preserve">37. **FR-37 系统恢复**  </w:t>
        <w:br/>
        <w:t xml:space="preserve">    - 完整引用：是  </w:t>
        <w:br/>
        <w:t xml:space="preserve">    - 理由：整库级恢复（FR-26）、时间点还原（FR-26）</w:t>
        <w:br/>
        <w:br/>
        <w:t xml:space="preserve">38. **FR-38 操作审计**  </w:t>
        <w:br/>
        <w:t xml:space="preserve">    - 完整引用：是  </w:t>
        <w:br/>
        <w:t xml:space="preserve">    - 理由：版本快照（FR-32）、区块链同步（2.3.3）</w:t>
        <w:br/>
        <w:br/>
        <w:t>---</w:t>
        <w:br/>
        <w:br/>
        <w:t>### **用户界面交互**（FR-39至FR-41）</w:t>
        <w:br/>
        <w:t xml:space="preserve">39. **FR-39 归档搜索**  </w:t>
        <w:br/>
        <w:t xml:space="preserve">    - 完整引用：是  </w:t>
        <w:br/>
        <w:t xml:space="preserve">    - 理由：解密权限（FR-20）、灾难恢复（FR-37）</w:t>
        <w:br/>
        <w:br/>
        <w:t xml:space="preserve">40. **FR-40 移动邮件**  </w:t>
        <w:br/>
        <w:t xml:space="preserve">    - 完整引用：是  </w:t>
        <w:br/>
        <w:t xml:space="preserve">    - 理由：权限验证（FR-17）、审计日志（FR-38）</w:t>
        <w:br/>
        <w:br/>
        <w:t xml:space="preserve">41. **FR-41 标签管理**  </w:t>
        <w:br/>
        <w:t xml:space="preserve">    - 完整引用：部分完整  </w:t>
        <w:br/>
        <w:t xml:space="preserve">    - 理由："颜色编码"的具体使用规则未定义</w:t>
        <w:br/>
        <w:br/>
        <w:t>---</w:t>
        <w:br/>
        <w:br/>
        <w:t>### **系统安全合规**（FR-42至FR-44）</w:t>
        <w:br/>
        <w:t xml:space="preserve">42. **FR-42 邮件流捕获**  </w:t>
        <w:br/>
        <w:t xml:space="preserve">    - 完整引用：是  </w:t>
        <w:br/>
        <w:t xml:space="preserve">    - 理由：监控规则（FR-28）、安全平台（2.3.3）</w:t>
        <w:br/>
        <w:br/>
        <w:t xml:space="preserve">43. **FR-43 告警处理**  </w:t>
        <w:br/>
        <w:t xml:space="preserve">    - 完整引用：是  </w:t>
        <w:br/>
        <w:t xml:space="preserve">    - 理由：安全响应流程（FR-28）、告警摘要（FR-30）</w:t>
        <w:br/>
        <w:br/>
        <w:t xml:space="preserve">44. **FR-44 合规评估**  </w:t>
        <w:br/>
        <w:t xml:space="preserve">    - 完整引用：是  </w:t>
        <w:br/>
        <w:t xml:space="preserve">    - 理由：GDPR/HIPAA（2.3.2）、人工复核（FR-30）</w:t>
        <w:br/>
        <w:br/>
        <w:t>---</w:t>
        <w:br/>
        <w:br/>
        <w:t>### **系统性能优化**（FR-45至FR-46）</w:t>
        <w:br/>
        <w:t xml:space="preserve">45. **FR-45 负载优化**  </w:t>
        <w:br/>
        <w:t xml:space="preserve">    - 完整引用：部分完整  </w:t>
        <w:br/>
        <w:t xml:space="preserve">    - 理由："分片/并行"的具体实现策略未说明</w:t>
        <w:br/>
        <w:br/>
        <w:t xml:space="preserve">46. **FR-46 策略评估**  </w:t>
        <w:br/>
        <w:t xml:space="preserve">    - 完整引用：是  </w:t>
        <w:br/>
        <w:t xml:space="preserve">    - 理由：存储利用率（FR-21）、策略界面（2.1.3）</w:t>
        <w:br/>
        <w:br/>
        <w:t>---</w:t>
        <w:br/>
        <w:br/>
        <w:t>### **完整引用统计**</w:t>
        <w:br/>
        <w:t xml:space="preserve">- 完全符合：36个（78.3%）  </w:t>
        <w:br/>
        <w:t xml:space="preserve">- 部分符合：10个（21.7%）  </w:t>
        <w:br/>
        <w:t>- 不符合：0个</w:t>
        <w:br/>
        <w:br/>
        <w:t>**主要不完整点**集中在未明确定义的具体实现细节（如智能预测算法、异常检测方法），但所有功能点均未引用规约外的系统/数据库。</w:t>
      </w:r>
    </w:p>
    <w:p>
      <w:pPr>
        <w:pStyle w:val="Heading1"/>
      </w:pPr>
      <w:r>
        <w:t>Feasible Analysis</w:t>
      </w:r>
    </w:p>
    <w:p>
      <w:r>
        <w:t>### 功能需求可操作性评估表</w:t>
        <w:br/>
        <w:br/>
        <w:t>| 功能编号 | 可操作性 | 判断理由 |</w:t>
        <w:br/>
        <w:t>|----------|----------|----------|</w:t>
        <w:br/>
        <w:t>| FR-01    | 可操作   | 输入（收件人地址、主题、正文、附件）与输出（发送记录、日志更新、归档触发）明确对应，SMTP协议交互路径清晰 |</w:t>
        <w:br/>
        <w:t>| FR-02    | 可操作   | 输入（轮询请求、邮件数据包、验证结果）与输出（收件箱更新、提醒生成）完整，反垃圾/病毒检测流程可映射到输出结果 |</w:t>
        <w:br/>
        <w:t>| FR-03    | 可操作   | 搜索条件（关键词、时间范围等）与结果集（邮件列表、缓存、报告）直接关联，输入输出边界清晰 |</w:t>
        <w:br/>
        <w:t>| FR-04    | 可操作   | 输入参数（名称、权限配置等）完整，输出（元数据写入、导航更新）可验证 |</w:t>
        <w:br/>
        <w:t>| FR-05    | 可操作   | 输入（文件夹ID、新名称）与输出（元数据更新、结构刷新）一一对应 |</w:t>
        <w:br/>
        <w:t>| FR-06    | 可操作   | 删除方式（永久/回收站）明确，输出（状态更新、空间释放）可追踪 |</w:t>
        <w:br/>
        <w:t>| FR-07    | 可操作   | 联系人字段（姓名、邮箱等）定义完整，输出（数据库写入、目录更新）可执行 |</w:t>
        <w:br/>
        <w:t>| FR-08    | 可操作   | 修改字段与输出（信息更新、缓存刷新）直接关联，权限验证作为输入条件 |</w:t>
        <w:br/>
        <w:t>| FR-09    | 可操作   | 删除操作与关联解除（通讯组、任务）逻辑明确 |</w:t>
        <w:br/>
        <w:t>| FR-10    | 部分可操作 | 动态组"基于规则"的成员选择方式未定义具体规则参数，输入条件不完整 |</w:t>
        <w:br/>
        <w:t>| FR-11    | 部分可操作 | 动态组筛选规则修改缺乏具体输入格式（如规则表达式） |</w:t>
        <w:br/>
        <w:t>| FR-12    | 可操作   | 导出格式（CSV/vCard）和加密配置明确，输出文件生成路径清晰 |</w:t>
        <w:br/>
        <w:t>| FR-13    | 可操作   | 任务属性（标题、优先级等）输入完整，输出（数据库写入、视图更新）明确 |</w:t>
        <w:br/>
        <w:t>| FR-14    | 可操作   | 提醒类型（单次/重复）和时间设置参数完整，多通知渠道支持已定义 |</w:t>
        <w:br/>
        <w:t>| FR-15    | 可操作   | 状态变更说明作为输入，输出（甘特图更新、日志生成）可验证 |</w:t>
        <w:br/>
        <w:t>| FR-16    | 可操作   | 删除方式与关联解除逻辑明确，存储配额更新可量化 |</w:t>
        <w:br/>
        <w:t>| FR-17    | 可操作   | 细粒度权限参数（访问级别、文件夹ID）定义完整 |</w:t>
        <w:br/>
        <w:t>| FR-18    | 可操作   | 审批结果（批准/拒绝）与输出（状态更新、通知发送）直接对应 |</w:t>
        <w:br/>
        <w:t>| FR-19    | 可操作   | 删除方式（立即/延迟）明确，关联解除范围定义清晰 |</w:t>
        <w:br/>
        <w:t>| FR-20    | 可操作   | 策略参数（保留周期、存储位置）完整，策略影响报告可生成 |</w:t>
        <w:br/>
        <w:t>| FR-21    | 可操作   | 邮件ID与策略匹配结果作为输入，归档状态更新可验证 |</w:t>
        <w:br/>
        <w:t>| FR-22    | 可操作   | 邮件列表与存储位置验证完整，归档报告生成路径明确 |</w:t>
        <w:br/>
        <w:t>| FR-23    | 可操作   | 协议解析结果作为输入，日志写入与报告生成可执行 |</w:t>
        <w:br/>
        <w:t>| FR-24    | 可操作   | 到期时间与策略匹配作为输入，处理记录生成明确 |</w:t>
        <w:br/>
        <w:t>| FR-25    | 可操作   | 备份参数（加密、压缩）完整，镜像生成与日志更新可验证 |</w:t>
        <w:br/>
        <w:t>| FR-26    | 可操作   | 时间点选择与恢复范围明确，完整性验证报告可生成 |</w:t>
        <w:br/>
        <w:t>| FR-27    | 可操作   | 筛选条件（时间范围、类型）与日志查询结果直接对应 |</w:t>
        <w:br/>
        <w:t>| FR-28    | 可操作   | 流量基线配置完整，异常标记与安全响应逻辑清晰 |</w:t>
        <w:br/>
        <w:t>| FR-29    | 可操作   | 权限变更操作记录完整，影响报告生成条件明确 |</w:t>
        <w:br/>
        <w:t>| FR-30    | 可操作   | 审计时间范围与合规标准作为输入，修复工作流触发明确 |</w:t>
        <w:br/>
        <w:t>| FR-31    | 可操作   | 权限角色与作用域定义完整，RBAC数据库写入路径清晰 |</w:t>
        <w:br/>
        <w:t>| FR-32    | 可操作   | 权限管理操作（添加/移除）参数明确，版本快照可生成 |</w:t>
        <w:br/>
        <w:t>| FR-33    | 可操作   | 验证模式（全量/抽样）定义完整，损坏数据标记逻辑明确 |</w:t>
        <w:br/>
        <w:t>| FR-34    | 可操作   | 邮件筛选条件（时间/文件夹）与策略ID输入完整 |</w:t>
        <w:br/>
        <w:t>| FR-35    | 可操作   | 优先级等级（紧急/高/普通/低）定义明确，策略评估可触发 |</w:t>
        <w:br/>
        <w:t>| FR-36    | 可操作   | 富文本格式检查规则完整，附件元数据更新可验证 |</w:t>
        <w:br/>
        <w:t>| FR-37    | 可操作   | 恢复范围（邮件/联系人）与时间点选择参数明确 |</w:t>
        <w:br/>
        <w:t>| FR-38    | 可操作   | 操作类型与目标对象记录完整，版本快照生成条件满足 |</w:t>
        <w:br/>
        <w:t>| FR-39    | 可操作   | 搜索条件（加密状态）与权限验证作为输入，合规过滤明确 |</w:t>
        <w:br/>
        <w:t>| FR-40    | 可操作   | 目标文件夹ID与权限验证完整，路径更新可执行 |</w:t>
        <w:br/>
        <w:t>| FR-41    | 可操作   | 标签名称与颜色编码输入完整，策略绑定逻辑明确 |</w:t>
        <w:br/>
        <w:t>| FR-42    | 可操作   | 监控规则与存储验证完整，告警生成条件满足 |</w:t>
        <w:br/>
        <w:t>| FR-43    | 可操作   | 告警类型（流量异常）定义明确，响应流程可触发 |</w:t>
        <w:br/>
        <w:t>| FR-44    | 可操作   | 合规标准（GDPR/HIPAA）作为输入，违规标记逻辑清晰 |</w:t>
        <w:br/>
        <w:t>| FR-45    | 可操作   | 优化策略（分片/并行）与资源检查完整，负载统计可更新 |</w:t>
        <w:br/>
        <w:t>| FR-46    | 可操作   | 健康度评估指标（存储利用率）明确，优化建议可生成 |</w:t>
        <w:br/>
        <w:br/>
        <w:t>### 统计结果</w:t>
        <w:br/>
        <w:t>- **可操作需求**：43项（93.5%）</w:t>
        <w:br/>
        <w:t>- **部分可操作需求**：2项（FR-10、FR-11，占4.3%）</w:t>
        <w:br/>
        <w:t>- **不可操作需求**：0项</w:t>
        <w:br/>
        <w:br/>
        <w:t>### 关键发现</w:t>
        <w:br/>
        <w:t>1. **动态组规则定义缺失**：FR-10和FR-11未明确动态组成员筛选规则的具体输入参数（如规则表达式格式），影响完整可操作性。</w:t>
        <w:br/>
        <w:t>2. **输入输出完整性**：其余需求均满足输入→输出的完整映射，特别是涉及安全审计（FR-30）和数据恢复（FR-37）等复杂功能的需求定义清晰。</w:t>
        <w:br/>
        <w:t>3. **系统边界明确**：所有硬件/软件接口（如SMTP协议、区块链存证）均与功能需求中的输入输出严格对应，未发现接口定义缺失的情况。</w:t>
        <w:br/>
        <w:br/>
        <w:t>建议对FR-10、FR-11补充动态组规则的具体输入参数定义（如："动态组规则输入需包含字段名、匹配运算符、值范围"），以达成完全可操作性。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