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根据功能需求和外部接口定义，以下是各功能点是否符合完整引用标准的判断结果：</w:t>
        <w:br/>
        <w:br/>
        <w:t>---</w:t>
        <w:br/>
        <w:br/>
        <w:t>### **FR-01 登记邮件功能**</w:t>
        <w:br/>
        <w:t xml:space="preserve">- **符合**  </w:t>
        <w:br/>
        <w:t>- **理由**：输入（登录凭证、邮件详细信息）和输出（数据库记录、通讯组/日程更新、日志）均在文档中明确定义，未引用外部未定义项。</w:t>
        <w:br/>
        <w:br/>
        <w:t>---</w:t>
        <w:br/>
        <w:br/>
        <w:t>### **FR-02 发送邮件功能**</w:t>
        <w:br/>
        <w:t xml:space="preserve">- **符合**  </w:t>
        <w:br/>
        <w:t>- **理由**：输入（邮件字段）和输出（发送成功通知、已发送邮件列表、日志）均已在文档中定义，依赖的邮箱服务器配置属于硬件接口（2.2.1）范畴，属于已定义内容。</w:t>
        <w:br/>
        <w:br/>
        <w:t>---</w:t>
        <w:br/>
        <w:br/>
        <w:t>### **FR-03 接收邮件功能**</w:t>
        <w:br/>
        <w:t xml:space="preserve">- **符合**  </w:t>
        <w:br/>
        <w:t>- **理由**：输入（邮箱账户信息）在硬件接口（2.2.1）中定义，输出（数据库存储、联系人/通讯组更新、日志）均已在文档中明确。</w:t>
        <w:br/>
        <w:br/>
        <w:t>---</w:t>
        <w:br/>
        <w:br/>
        <w:t>### **FR-04 格式化邮件功能**</w:t>
        <w:br/>
        <w:t xml:space="preserve">- **部分符合**  </w:t>
        <w:br/>
        <w:t>- **理由**：输入中的“格式化设置”（如字体样式、排版）未在文档中具体定义格式支持范围（如支持的字体类型、字号等），属于未完全明确的输入项。</w:t>
        <w:br/>
        <w:br/>
        <w:t>---</w:t>
        <w:br/>
        <w:br/>
        <w:t>### **FR-05 搜索邮件功能**</w:t>
        <w:br/>
        <w:t xml:space="preserve">- **符合**  </w:t>
        <w:br/>
        <w:t>- **理由**：输入（搜索条件类型）和输出（邮件列表、日志）均已在文档中完整定义。</w:t>
        <w:br/>
        <w:br/>
        <w:t>---</w:t>
        <w:br/>
        <w:br/>
        <w:t>### **FR-06 组织邮件文件夹功能**</w:t>
        <w:br/>
        <w:t xml:space="preserve">- **符合**  </w:t>
        <w:br/>
        <w:t>- **理由**：输入（目标文件夹ID）和输出（分类归档、日志）在数据模型和功能需求中隐含定义（如文件夹管理逻辑），未引用外部内容。</w:t>
        <w:br/>
        <w:br/>
        <w:t>---</w:t>
        <w:br/>
        <w:br/>
        <w:t>### **FR-07 管理通讯组功能**</w:t>
        <w:br/>
        <w:t xml:space="preserve">- **符合**  </w:t>
        <w:br/>
        <w:t>- **理由**：输入（通讯组信息）和输出（增删改查结果、日志）均在文档中定义，通讯组管理逻辑属于系统内部功能。</w:t>
        <w:br/>
        <w:br/>
        <w:t>---</w:t>
        <w:br/>
        <w:br/>
        <w:t>### **FR-08 新增联系人功能**</w:t>
        <w:br/>
        <w:t xml:space="preserve">- **符合**  </w:t>
        <w:br/>
        <w:t>- **理由**：输入（联系人信息字段）和输出（数据库存储、通讯组更新、日志）均已在文档中明确定义。</w:t>
        <w:br/>
        <w:br/>
        <w:t>---</w:t>
        <w:br/>
        <w:br/>
        <w:t>### **FR-09 修改联系人功能**</w:t>
        <w:br/>
        <w:t xml:space="preserve">- **符合**  </w:t>
        <w:br/>
        <w:t>- **理由**：输入（联系人ID、修改后信息）和输出（更新结果、日志）均在文档中定义，未引用外部项。</w:t>
        <w:br/>
        <w:br/>
        <w:t>---</w:t>
        <w:br/>
        <w:br/>
        <w:t>### **FR-10 删除联系人功能**</w:t>
        <w:br/>
        <w:t xml:space="preserve">- **符合**  </w:t>
        <w:br/>
        <w:t>- **理由**：输入（联系人ID）和输出（删除结果、日志）均已在文档中定义，逻辑完整。</w:t>
        <w:br/>
        <w:br/>
        <w:t>---</w:t>
        <w:br/>
        <w:br/>
        <w:t>### **FR-11 管理邮箱账户功能**</w:t>
        <w:br/>
        <w:t xml:space="preserve">- **符合**  </w:t>
        <w:br/>
        <w:t>- **理由**：输入（邮箱账户ID、配置信息）和输出（更新结果、日志）在功能需求和硬件接口（2.2.1）中均有定义。</w:t>
        <w:br/>
        <w:br/>
        <w:t>---</w:t>
        <w:br/>
        <w:br/>
        <w:t>### **FR-12 设置归档策略功能**</w:t>
        <w:br/>
        <w:t xml:space="preserve">- **符合**  </w:t>
        <w:br/>
        <w:t>- **理由**：输入（触发条件、目标文件夹ID）和输出（策略设置结果、日志）均已在文档中定义，策略逻辑未依赖外部内容。</w:t>
        <w:br/>
        <w:br/>
        <w:t>---</w:t>
        <w:br/>
        <w:br/>
        <w:t>### **FR-13 执行邮件归档功能**</w:t>
        <w:br/>
        <w:t xml:space="preserve">- **符合**  </w:t>
        <w:br/>
        <w:t>- **理由**：输入（策略ID）在FR-12中定义，输出（归档结果、日志）已在文档中明确。</w:t>
        <w:br/>
        <w:br/>
        <w:t>---</w:t>
        <w:br/>
        <w:br/>
        <w:t>### **FR-14 捕获邮件流功能**</w:t>
        <w:br/>
        <w:t xml:space="preserve">- **符合**  </w:t>
        <w:br/>
        <w:t>- **理由**：输入（策略ID）和输出（邮件流记录、日志）均已在文档中定义，依赖的邮箱账户信息属于已定义接口（2.2.1）。</w:t>
        <w:br/>
        <w:br/>
        <w:t>---</w:t>
        <w:br/>
        <w:br/>
        <w:t>### **FR-15 管理备份功能**</w:t>
        <w:br/>
        <w:t xml:space="preserve">- **符合**  </w:t>
        <w:br/>
        <w:t>- **理由**：输入（备份存储路径）在外部接口（2.3.1数据库接口）中隐含支持，输出（备份文件、日志）已在文档中定义。</w:t>
        <w:br/>
        <w:br/>
        <w:t>---</w:t>
        <w:br/>
        <w:br/>
        <w:t>### **FR-16 查看备份日志功能**</w:t>
        <w:br/>
        <w:t xml:space="preserve">- **符合**  </w:t>
        <w:br/>
        <w:t>- **理由**：输入（查询条件）和输出（日志结果）均已在文档中定义，未引用外部项。</w:t>
        <w:br/>
        <w:br/>
        <w:t>---</w:t>
        <w:br/>
        <w:br/>
        <w:t>### **FR-17 管理恢复日志功能**</w:t>
        <w:br/>
        <w:t xml:space="preserve">- **符合**  </w:t>
        <w:br/>
        <w:t>- **理由**：输入（查询条件）和输出（日志导出）在文档中明确定义，导出操作属于系统内部功能。</w:t>
        <w:br/>
        <w:br/>
        <w:t>---</w:t>
        <w:br/>
        <w:br/>
        <w:t>### **总结**</w:t>
        <w:br/>
        <w:t xml:space="preserve">- **完整引用功能点**：FR-01至FR-17中，除FR-04外，其余均符合完整引用标准。  </w:t>
        <w:br/>
        <w:t>- **FR-04部分符合**：需补充“格式化设置”的具体定义（如支持的样式类型）以完全满足完整引用要求。</w:t>
      </w:r>
    </w:p>
    <w:p>
      <w:pPr>
        <w:pStyle w:val="Heading1"/>
      </w:pPr>
      <w:r>
        <w:t>Feasible Analysis</w:t>
      </w:r>
    </w:p>
    <w:p>
      <w:r>
        <w:t>根据功能需求的输入和输出定义，以下是对各功能点可行性的评估：</w:t>
        <w:br/>
        <w:br/>
        <w:t>| 功能编号 | 功能名称           | 可行性 | 判断理由                                                                                                                                                     |</w:t>
        <w:br/>
        <w:t>|----------|--------------------|--------|--------------------------------------------------------------------------------------------------------------------------------------------------------------|</w:t>
        <w:br/>
        <w:t>| FR-01    | 登记邮件功能       | 可行   | 输入包含用户凭证和邮件元数据，支持通过IMAP/POP3协议拉取邮件，归档策略可基于规则自动执行。                                                                     |</w:t>
        <w:br/>
        <w:t>| FR-02    | 发送邮件功能       | 可行   | SMTP协议支持邮件发送，格式验证（如邮箱地址正则匹配）和附件处理均为成熟技术。                                                                                 |</w:t>
        <w:br/>
        <w:t>| FR-03    | 接收邮件功能       | 可行   | 与FR-01类似，邮箱协议支持自动拉取邮件，数据库存储和日志记录均为标准操作。                                                                                    |</w:t>
        <w:br/>
        <w:t>| FR-04    | 格式化邮件功能     | 部分可行 | 纯文本邮件格式调整可行，但富文本格式（如HTML）的持久化存储和渲染需额外支持，若系统仅支持文本则部分受限。                                                     |</w:t>
        <w:br/>
        <w:t>| FR-05    | 搜索邮件功能       | 可行   | 数据库可通过索引优化多条件查询（如Elasticsearch），时间范围、关键词匹配均为常规功能。                                                                        |</w:t>
        <w:br/>
        <w:t>| FR-06    | 组织邮件文件夹功能 | 可行   | 邮件移动操作通过更新数据库中的文件夹ID字段即可实现，归档策略与FR-01/FR-13联动。                                                                              |</w:t>
        <w:br/>
        <w:t>| FR-07    | 管理通讯组功能     | 可行   | 通讯组的增删改查依赖基础CRUD操作，无技术瓶颈。                                                                                                               |</w:t>
        <w:br/>
        <w:t>| FR-08    | 新增联系人功能     | 可行   | 输入包含完整联系人信息，数据库插入操作可直接实现。                                                                                                           |</w:t>
        <w:br/>
        <w:t>| FR-09    | 修改联系人功能     | 可行   | 通过联系人ID定位并更新记录，技术实现简单。                                                                                                                   |</w:t>
        <w:br/>
        <w:t>| FR-10    | 删除联系人功能     | 可行   | 标记删除或物理删除均可通过数据库操作完成。                                                                                                                   |</w:t>
        <w:br/>
        <w:t>| FR-11    | 管理邮箱账户功能   | 可行   | 账户信息的加密存储和操作日志记录为常规安全实践。                                                                                                             |</w:t>
        <w:br/>
        <w:t>| FR-12    | 设置归档策略功能   | 可行   | 策略引擎可通过规则配置（如时间、关键词）触发动作，但复杂策略（如AI分类）需额外开发。                                                                         |</w:t>
        <w:br/>
        <w:t>| FR-13    | 执行邮件归档功能   | 可行   | 依赖FR-12的策略配置，通过定时任务或手动触发实现邮件迁移。                                                                                                    |</w:t>
        <w:br/>
        <w:t>| FR-14    | 捕获邮件流功能     | 部分可行 | 实时捕获需邮件服务器支持（如监听端口），若系统仅支持拉取模式（非推送），则无法完全实时，存在延迟。                                                           |</w:t>
        <w:br/>
        <w:t>| FR-15    | 管理备份功能       | 可行   | 文件级备份（如压缩存储）和整库备份（如SQL导出）均为成熟方案，恢复需验证权限和一致性。                                                                        |</w:t>
        <w:br/>
        <w:t>| FR-16    | 查看备份日志功能   | 可行   | 日志存储于数据库或文件系统，支持按条件筛选和分页展示。                                                                                                       |</w:t>
        <w:br/>
        <w:t>| FR-17    | 管理恢复日志功能   | 可行   | 与FR-16类似，日志导出支持CSV/Excel等格式，技术上无难点。                                                                                                     |</w:t>
        <w:br/>
        <w:br/>
        <w:t>### 不可行需求说明</w:t>
        <w:br/>
        <w:t xml:space="preserve">1. **FR-04（格式化邮件功能）**  </w:t>
        <w:br/>
        <w:t xml:space="preserve">   - **限制条件**：若系统仅支持纯文本邮件，则富文本格式（如字体、排版）无法持久化存储和渲染，需额外引入HTML或Markdown支持。</w:t>
        <w:br/>
        <w:t xml:space="preserve">   </w:t>
        <w:br/>
        <w:t xml:space="preserve">2. **FR-14（捕获邮件流功能）**  </w:t>
        <w:br/>
        <w:t xml:space="preserve">   - **限制条件**：实时捕获依赖邮件服务器的推送机制（如Webhook），若仅通过定期轮询（Pull模式），则无法实现真正的实时性，可能存在数据延迟。</w:t>
        <w:br/>
        <w:br/>
        <w:t>### 总结</w:t>
        <w:br/>
        <w:t>- **可行需求**：15项（FR-01至FR-03、FR-05至FR-13、FR-15至FR-17），需注意部分功能的实现细节。</w:t>
        <w:br/>
        <w:t>- **部分可行/有条件可行**：2项（FR-04、FR-14），需根据具体技术选型调整实现方案。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