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CDC9D">
      <w:pPr>
        <w:pStyle w:val="31"/>
      </w:pPr>
      <w:r>
        <w:t>评估文档</w:t>
      </w:r>
    </w:p>
    <w:p w14:paraId="18190CC7">
      <w:pPr>
        <w:pStyle w:val="3"/>
      </w:pPr>
      <w:r>
        <w:t>Complete Analysis</w:t>
      </w:r>
    </w:p>
    <w:p w14:paraId="0508F530">
      <w:r>
        <w:t>根据完整引用的定义（需求未引用未在规约中定义的功能、输入或输出），以下是各功能点的评估结果：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**FR-01 邮件发送功能**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**理由**：输入（主题/正文/收件人/附件）、输出（发送成功/失败提示）均已在需求中定义，依赖的通信接口（SMTP协议）和用户接口（GUI）在外部接口部分明确说明。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**FR-02 邮件接收功能**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**理由**：输入（邮件服务器数据）、输出（格式化邮件列表）已定义，依赖的IMAP/POP3协议和服务器连接状态监控（FR-18）均在外部接口中涵盖。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**FR-03 邮件格式化功能**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**理由**：输入（待格式化内容）、输出（格式化后内容）均为本地操作，无需外部依赖，功能逻辑完整。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**FR-04 邮件搜索功能**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**理由**：输入（关键词/发件人/日期等）、输出（匹配列表）均在需求中定义，无外部未说明的依赖。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**FR-05 邮件归档功能**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**理由**：输入（邮件/目标文件夹）、输出（归档结果）已定义，归档策略由用户自定义（FR-08），但归档动作本身不依赖外部未说明的功能。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**FR-06 联系人与通讯组管理**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**理由**：输入（联系人/通讯组信息）、输出（更新列表）均明确，操作通过用户接口（GUI）实现，无外部依赖。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**FR-07 提醒任务设置**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**理由**：输入（时间/描述/提醒方式）、输出（设置结果）已定义，依赖的邮件发送功能（FR-01）和通信接口（SMTP）均已在需求中说明。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**FR-08 邮件归档策略设置**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**理由**：输入（策略参数）、输出（策略设置结果）完整，策略执行逻辑由系统内部处理，无需额外引用。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**FR-09 邮件备份功能**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**理由**：输入（备份位置）、输出（备份结果）已定义，依赖的软件接口（如SFTP/云存储）在外部接口中明确说明。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**FR-10 邮件恢复功能**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**理由**：输入（邮件/文件夹）、输出（恢复结果）完整，恢复操作依赖本地或已定义的存储接口。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**FR-11 邮箱账号管理**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**理由**：输入（账号信息）、输出（账号状态）已定义，无未说明的外部依赖。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**FR-12 服务器备份与恢复**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**理由**：输入（备份类型/时间点）、输出（恢复结果）完整，依赖的服务器接口在外部硬件/软件接口中已涵盖。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**FR-13 邮件日志管理**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**理由**：输入（日志条目）、输出（日志信息）已定义，操作通过用户接口实现，无外部依赖。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**FR-14 邮件归档日志管理**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**理由**：同FR-13，操作逻辑一致，依赖项已在需求中说明。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**FR-15 邮件恢复日志管理**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**理由**：同FR-13，操作逻辑一致，无未定义内容。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**FR-16 备份日志管理**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**理由**：同FR-13，操作逻辑一致，依赖项已涵盖。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**FR-17 系统备份与恢复**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**理由**：输入（备份类型/时间点）、输出（恢复结果）完整，依赖的软件接口（如整库级备份）在外部接口中已定义。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**FR-18 邮件服务器连接状态监控**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**理由**：输入（无）、输出（状态/警告）完整，依赖的硬件接口（TCP/IP心跳检测）在外部接口中明确。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**FR-19 邮件服务器配置管理**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**理由**：输入（服务器配置参数）、输出（配置状态）已定义，无未说明的依赖。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**FR-20 邮件系统安全性功能**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**理由**：输入（加密密码）、输出（加密结果）完整，依赖的通信加密逻辑在需求中隐含（如SSL/TLS）。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**FR-21 用户权限管理**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**理由**：输入（权限设置）、输出（权限状态）已定义，操作通过用户接口实现。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**FR-22 邮件系统日志记录**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**理由**：输入（无）、输出（日志记录）完整，系统自动生成，无需外部依赖。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**FR-23 邮件系统数据完整性校验**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**理由**：输入（无）、输出（校验结果）完整，校验逻辑由系统内部实现。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**总结**</w:t>
      </w:r>
      <w:r>
        <w:br w:type="textWrapping"/>
      </w:r>
      <w:r>
        <w:t>所有功能点（FR-01至FR-23）均符合“完整引用”要求。每个功能的输入、输出及依赖项（如通信协议、用户接口、存储接口等）均已在需求规约说明书的功能需求或外部接口部分明确定义，未引用未说明的外部功能或数据源。</w:t>
      </w:r>
    </w:p>
    <w:p w14:paraId="0899D607">
      <w:pPr>
        <w:pStyle w:val="3"/>
      </w:pPr>
      <w:r>
        <w:t>Feasible Analysis</w:t>
      </w:r>
    </w:p>
    <w:p w14:paraId="28F13FA8">
      <w:r>
        <w:t>### 功能需求可行性分析表</w:t>
      </w:r>
      <w:r>
        <w:br w:type="textWrapping"/>
      </w:r>
      <w:r>
        <w:br w:type="textWrapping"/>
      </w:r>
      <w:r>
        <w:t>根据功能需求的输入能否转化为所需输出，对23项功能需求逐一分析如下：</w:t>
      </w:r>
      <w:r>
        <w:br w:type="textWrapping"/>
      </w:r>
      <w:r>
        <w:br w:type="textWrapping"/>
      </w:r>
      <w:r>
        <w:t>| **功能编号** | **可行性** | **判断理由** |</w:t>
      </w:r>
      <w:r>
        <w:br w:type="textWrapping"/>
      </w:r>
      <w:r>
        <w:t>|--------------|------------|--------------|</w:t>
      </w:r>
      <w:r>
        <w:br w:type="textWrapping"/>
      </w:r>
      <w:r>
        <w:t>| FR-01        | 可行       | 输入包含邮件基本信息及附件，通过SMTP协议发送邮件，输出状态提示为常规实现。 |</w:t>
      </w:r>
      <w:r>
        <w:br w:type="textWrapping"/>
      </w:r>
      <w:r>
        <w:t>| FR-02        | 可行       | 接收邮件数据并格式化显示，通过IMAP/POP3协议解析邮件内容即可实现。 |</w:t>
      </w:r>
      <w:r>
        <w:br w:type="textWrapping"/>
      </w:r>
      <w:r>
        <w:t>| FR-03        | 可行       | 富文本编辑器支持字体、颜色调整，前端技术（如HTML/CSS）成熟。 |</w:t>
      </w:r>
      <w:r>
        <w:br w:type="textWrapping"/>
      </w:r>
      <w:r>
        <w:t>| FR-04        | 可行       | 数据库索引支持多条件搜索，全文检索技术（如Elasticsearch）可扩展。 |</w:t>
      </w:r>
      <w:r>
        <w:br w:type="textWrapping"/>
      </w:r>
      <w:r>
        <w:t>| FR-05        | 可行       | 归档操作依赖文件夹存在性验证，文件系统或数据库事务可保证一致性。 |</w:t>
      </w:r>
      <w:r>
        <w:br w:type="textWrapping"/>
      </w:r>
      <w:r>
        <w:t>| FR-06        | 可行       | 联系人管理为CRUD操作，数据库表结构设计简单。 |</w:t>
      </w:r>
      <w:r>
        <w:br w:type="textWrapping"/>
      </w:r>
      <w:r>
        <w:t>| FR-07        | 可行       | 定时任务（如Cron）与通知系统（邮件/推送）整合成熟。 |</w:t>
      </w:r>
      <w:r>
        <w:br w:type="textWrapping"/>
      </w:r>
      <w:r>
        <w:rPr>
          <w:color w:val="FF0000"/>
        </w:rPr>
        <w:t>| FR-08        | 可行       | 后台任务调度框架（如Celery）支持策略执行，需合理定义归档条件。 |</w:t>
      </w:r>
      <w:bookmarkStart w:id="0" w:name="_GoBack"/>
      <w:bookmarkEnd w:id="0"/>
      <w:r>
        <w:br w:type="textWrapping"/>
      </w:r>
      <w:r>
        <w:t>| FR-09        | 可行       | 备份接口（如SFTP/API）与云存储（AWS S3等）兼容，支持多级备份。 |</w:t>
      </w:r>
      <w:r>
        <w:br w:type="textWrapping"/>
      </w:r>
      <w:r>
        <w:t>| FR-10        | 可行       | 恢复功能依赖“软删除”机制，邮件系统通常支持恢复操作。 |</w:t>
      </w:r>
      <w:r>
        <w:br w:type="textWrapping"/>
      </w:r>
      <w:r>
        <w:t>| FR-11        | 可行       | 邮箱账号验证（格式、密码强度）为标准化流程。 |</w:t>
      </w:r>
      <w:r>
        <w:br w:type="textWrapping"/>
      </w:r>
      <w:r>
        <w:t>| FR-12        | 可行       | 服务器备份工具（如Veeam）支持时间点恢复，需集成备份策略。 |</w:t>
      </w:r>
      <w:r>
        <w:br w:type="textWrapping"/>
      </w:r>
      <w:r>
        <w:t>| FR-13        | 可行       | 日志存储与查询通过数据库或日志管理系统（如ELK）实现。 |</w:t>
      </w:r>
      <w:r>
        <w:br w:type="textWrapping"/>
      </w:r>
      <w:r>
        <w:t>| FR-14        | 可行       | 同FR-13，归档日志为日志子集，管理方式一致。 |</w:t>
      </w:r>
      <w:r>
        <w:br w:type="textWrapping"/>
      </w:r>
      <w:r>
        <w:t>| FR-15        | 可行       | 恢复日志记录恢复操作，技术实现同其他日志管理。 |</w:t>
      </w:r>
      <w:r>
        <w:br w:type="textWrapping"/>
      </w:r>
      <w:r>
        <w:t>| FR-16        | 可行       | 备份日志记录备份过程，技术实现无特殊难点。 |</w:t>
      </w:r>
      <w:r>
        <w:br w:type="textWrapping"/>
      </w:r>
      <w:r>
        <w:t>| FR-17        | 可行       | 系统级备份需全盘镜像或快照，依赖企业级工具（如Acronis）。 |</w:t>
      </w:r>
      <w:r>
        <w:br w:type="textWrapping"/>
      </w:r>
      <w:r>
        <w:t>| FR-18        | 可行       | 心跳检测与网络监控工具（如Nagios）可集成实现。 |</w:t>
      </w:r>
      <w:r>
        <w:br w:type="textWrapping"/>
      </w:r>
      <w:r>
        <w:t>| FR-19        | 可行       | 配置验证通过正则表达式或预定义规则检查输入合法性。 |</w:t>
      </w:r>
      <w:r>
        <w:br w:type="textWrapping"/>
      </w:r>
      <w:r>
        <w:t>| FR-20        | 可行       | TLS/SSL协议保障传输加密，密码复杂度可强制校验。 |</w:t>
      </w:r>
      <w:r>
        <w:br w:type="textWrapping"/>
      </w:r>
      <w:r>
        <w:t>| FR-21        | 可行       | 基于角色的访问控制（RBAC）模型成熟，权限粒度可配置。 |</w:t>
      </w:r>
      <w:r>
        <w:br w:type="textWrapping"/>
      </w:r>
      <w:r>
        <w:t>| FR-22        | 可行       | 系统日志记录通过AOP或中间件实现，技术方案明确。 |</w:t>
      </w:r>
      <w:r>
        <w:br w:type="textWrapping"/>
      </w:r>
      <w:r>
        <w:t>| FR-23        | 可行       | 数据校验使用哈希算法（如SHA-256），定期扫描机制简单。 |</w:t>
      </w:r>
      <w:r>
        <w:br w:type="textWrapping"/>
      </w:r>
      <w:r>
        <w:br w:type="textWrapping"/>
      </w:r>
      <w:r>
        <w:t>### 结论</w:t>
      </w:r>
      <w:r>
        <w:br w:type="textWrapping"/>
      </w:r>
      <w:r>
        <w:t>所有23项功能需求均满足可行性标准。每项需求的输入均可通过现有技术手段转化为预期输出，未发现不可逾越的技术或逻辑障碍。需注意部分功能（如FR-08归档策略、FR-17系统备份）的具体实现可能依赖第三方工具或详细设计，但总体可行性成立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CF5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2495</Words>
  <Characters>3183</Characters>
  <Lines>0</Lines>
  <Paragraphs>0</Paragraphs>
  <TotalTime>4</TotalTime>
  <ScaleCrop>false</ScaleCrop>
  <LinksUpToDate>false</LinksUpToDate>
  <CharactersWithSpaces>3793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2025-05-10T10:37:30Z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C53A4D7615044437B8A31CAFC0E6A254_12</vt:lpwstr>
  </property>
</Properties>
</file>