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评估文档</w:t>
      </w:r>
    </w:p>
    <w:p>
      <w:pPr>
        <w:pStyle w:val="Heading1"/>
      </w:pPr>
      <w:r>
        <w:t>Complete Analysis</w:t>
      </w:r>
    </w:p>
    <w:p>
      <w:r>
        <w:t>### 功能点完整引用评估</w:t>
        <w:br/>
        <w:br/>
        <w:t>根据需求规约说明书中的功能需求与外部接口定义，逐一评估各功能点是否符合**完整引用**要求（即未引用未定义的输入、输出或数据库）：</w:t>
        <w:br/>
        <w:br/>
        <w:t>---</w:t>
        <w:br/>
        <w:br/>
        <w:t xml:space="preserve">#### **FR-01 登记邮件功能**  </w:t>
        <w:br/>
        <w:t xml:space="preserve">**完整引用**：是  </w:t>
        <w:br/>
        <w:t xml:space="preserve">**理由**：  </w:t>
        <w:br/>
        <w:t xml:space="preserve">- 输入字段（发件人、收件人等）均在功能需求中明确定义。  </w:t>
        <w:br/>
        <w:t>- 输出（存储邮件、状态更新、操作日志）在外部接口（2.1.1）中确认。</w:t>
        <w:br/>
        <w:br/>
        <w:t>---</w:t>
        <w:br/>
        <w:br/>
        <w:t xml:space="preserve">#### **FR-02 发送邮件功能**  </w:t>
        <w:br/>
        <w:t xml:space="preserve">**完整引用**：是  </w:t>
        <w:br/>
        <w:t xml:space="preserve">**理由**：  </w:t>
        <w:br/>
        <w:t xml:space="preserve">- 输入（发送策略、邮件列表）引用FR-13定义的策略类型。  </w:t>
        <w:br/>
        <w:t>- 输出（发送日志）在外部接口（2.1.2）中确认。</w:t>
        <w:br/>
        <w:br/>
        <w:t>---</w:t>
        <w:br/>
        <w:br/>
        <w:t xml:space="preserve">#### **FR-03 接收邮件功能**  </w:t>
        <w:br/>
        <w:t xml:space="preserve">**完整引用**：是  </w:t>
        <w:br/>
        <w:t xml:space="preserve">**理由**：  </w:t>
        <w:br/>
        <w:t xml:space="preserve">- 输入（接收策略）引用FR-13定义的策略类型。  </w:t>
        <w:br/>
        <w:t>- 输出（接收日志）在外部接口（2.1.3）中确认。</w:t>
        <w:br/>
        <w:br/>
        <w:t>---</w:t>
        <w:br/>
        <w:br/>
        <w:t xml:space="preserve">#### **FR-04 格式化邮件功能**  </w:t>
        <w:br/>
        <w:t xml:space="preserve">**完整引用**：是  </w:t>
        <w:br/>
        <w:t xml:space="preserve">**理由**：  </w:t>
        <w:br/>
        <w:t xml:space="preserve">- 输入（格式化选项）在功能需求中描述为“模板或自定义格式”。  </w:t>
        <w:br/>
        <w:t>- 输出（格式化日志）在外部接口（2.1.4）中确认。</w:t>
        <w:br/>
        <w:br/>
        <w:t>---</w:t>
        <w:br/>
        <w:br/>
        <w:t xml:space="preserve">#### **FR-05 搜索邮件功能**  </w:t>
        <w:br/>
        <w:t xml:space="preserve">**完整引用**：是  </w:t>
        <w:br/>
        <w:t xml:space="preserve">**理由**：  </w:t>
        <w:br/>
        <w:t xml:space="preserve">- 输入（搜索条件）在功能需求中明确定义。  </w:t>
        <w:br/>
        <w:t>- 输出（搜索结果列表、日志）在外部接口（2.1.5）中确认。</w:t>
        <w:br/>
        <w:br/>
        <w:t>---</w:t>
        <w:br/>
        <w:br/>
        <w:t xml:space="preserve">#### **FR-06 组织邮件文件夹功能**  </w:t>
        <w:br/>
        <w:t xml:space="preserve">**完整引用**：是  </w:t>
        <w:br/>
        <w:t xml:space="preserve">**理由**：  </w:t>
        <w:br/>
        <w:t xml:space="preserve">- 输入（目标文件夹）在功能需求中隐含通过文件夹管理实现。  </w:t>
        <w:br/>
        <w:t>- 输出（操作日志）在外部接口（2.1.6）中确认。</w:t>
        <w:br/>
        <w:br/>
        <w:t>---</w:t>
        <w:br/>
        <w:br/>
        <w:t xml:space="preserve">#### **FR-07 管理通讯组功能**  </w:t>
        <w:br/>
        <w:t xml:space="preserve">**完整引用**：是  </w:t>
        <w:br/>
        <w:t xml:space="preserve">**理由**：  </w:t>
        <w:br/>
        <w:t xml:space="preserve">- 输入（通讯组信息）在功能需求中明确定义。  </w:t>
        <w:br/>
        <w:t>- 输出（管理日志）在外部接口（2.1.7）中确认。</w:t>
        <w:br/>
        <w:br/>
        <w:t>---</w:t>
        <w:br/>
        <w:br/>
        <w:t xml:space="preserve">#### **FR-08 新增联系人功能**  </w:t>
        <w:br/>
        <w:t xml:space="preserve">**完整引用**：是  </w:t>
        <w:br/>
        <w:t xml:space="preserve">**理由**：  </w:t>
        <w:br/>
        <w:t xml:space="preserve">- 输入（联系人信息）在功能需求中明确定义。  </w:t>
        <w:br/>
        <w:t>- 输出（操作日志）在外部接口（2.1.8）中确认。</w:t>
        <w:br/>
        <w:br/>
        <w:t>---</w:t>
        <w:br/>
        <w:br/>
        <w:t xml:space="preserve">#### **FR-09 更改联系人功能**  </w:t>
        <w:br/>
        <w:t xml:space="preserve">**完整引用**：是  </w:t>
        <w:br/>
        <w:t xml:space="preserve">**理由**：  </w:t>
        <w:br/>
        <w:t xml:space="preserve">- 输入（修改后的信息）与FR-08一致。  </w:t>
        <w:br/>
        <w:t>- 输出（操作日志）在外部接口（2.1.8）中确认。</w:t>
        <w:br/>
        <w:br/>
        <w:t>---</w:t>
        <w:br/>
        <w:br/>
        <w:t xml:space="preserve">#### **FR-10 删除联系人功能**  </w:t>
        <w:br/>
        <w:t xml:space="preserve">**完整引用**：是  </w:t>
        <w:br/>
        <w:t xml:space="preserve">**理由**：  </w:t>
        <w:br/>
        <w:t xml:space="preserve">- 输入（联系人）通过FR-08定义。  </w:t>
        <w:br/>
        <w:t>- 输出（操作日志）在外部接口（2.1.8）中确认。</w:t>
        <w:br/>
        <w:br/>
        <w:t>---</w:t>
        <w:br/>
        <w:br/>
        <w:t xml:space="preserve">#### **FR-11 设置提醒任务功能**  </w:t>
        <w:br/>
        <w:t xml:space="preserve">**完整引用**：是  </w:t>
        <w:br/>
        <w:t xml:space="preserve">**理由**：  </w:t>
        <w:br/>
        <w:t xml:space="preserve">- 输入（提醒时间、方式）在功能需求中描述。  </w:t>
        <w:br/>
        <w:t>- 输出（提醒通知、日志）在外部接口（2.1.9）中确认。</w:t>
        <w:br/>
        <w:br/>
        <w:t>---</w:t>
        <w:br/>
        <w:br/>
        <w:t xml:space="preserve">#### **FR-12 管理日程功能**  </w:t>
        <w:br/>
        <w:t xml:space="preserve">**完整引用**：是  </w:t>
        <w:br/>
        <w:t xml:space="preserve">**理由**：  </w:t>
        <w:br/>
        <w:t xml:space="preserve">- 输入（日程信息）在功能需求中明确定义。  </w:t>
        <w:br/>
        <w:t>- 输出（操作日志）在外部接口（2.1.10）中确认。</w:t>
        <w:br/>
        <w:br/>
        <w:t>---</w:t>
        <w:br/>
        <w:br/>
        <w:t xml:space="preserve">#### **FR-13 制定策略功能**  </w:t>
        <w:br/>
        <w:t xml:space="preserve">**完整引用**：是  </w:t>
        <w:br/>
        <w:t xml:space="preserve">**理由**：  </w:t>
        <w:br/>
        <w:t xml:space="preserve">- 输入（策略类型、规则）在功能需求中描述。  </w:t>
        <w:br/>
        <w:t>- 输出（策略存储、日志）在外部接口（2.1.11）中确认。</w:t>
        <w:br/>
        <w:br/>
        <w:t>---</w:t>
        <w:br/>
        <w:br/>
        <w:t xml:space="preserve">#### **FR-14 归档邮件功能**  </w:t>
        <w:br/>
        <w:t xml:space="preserve">**完整引用**：是  </w:t>
        <w:br/>
        <w:t xml:space="preserve">**理由**：  </w:t>
        <w:br/>
        <w:t xml:space="preserve">- 输入（存储位置）在功能需求中隐含归档逻辑。  </w:t>
        <w:br/>
        <w:t>- 输出（归档日志）在外部接口（2.1.12）中确认。</w:t>
        <w:br/>
        <w:br/>
        <w:t>---</w:t>
        <w:br/>
        <w:br/>
        <w:t xml:space="preserve">#### **FR-15 查看归档邮件功能**  </w:t>
        <w:br/>
        <w:t xml:space="preserve">**完整引用**：是  </w:t>
        <w:br/>
        <w:t xml:space="preserve">**理由**：  </w:t>
        <w:br/>
        <w:t xml:space="preserve">- 输入（归档邮件）通过FR-14定义。  </w:t>
        <w:br/>
        <w:t>- 输出（查看日志）在外部接口（2.1.12）中确认。</w:t>
        <w:br/>
        <w:br/>
        <w:t>---</w:t>
        <w:br/>
        <w:br/>
        <w:t xml:space="preserve">#### **FR-16 删除归档邮件功能**  </w:t>
        <w:br/>
        <w:t xml:space="preserve">**完整引用**：是  </w:t>
        <w:br/>
        <w:t xml:space="preserve">**理由**：  </w:t>
        <w:br/>
        <w:t xml:space="preserve">- 输入（归档邮件）通过FR-14定义。  </w:t>
        <w:br/>
        <w:t>- 输出（删除日志）在外部接口（2.1.15）中确认。</w:t>
        <w:br/>
        <w:br/>
        <w:t>---</w:t>
        <w:br/>
        <w:br/>
        <w:t xml:space="preserve">#### **FR-17 管理备份功能**  </w:t>
        <w:br/>
        <w:t xml:space="preserve">**完整引用**：是  </w:t>
        <w:br/>
        <w:t xml:space="preserve">**理由**：  </w:t>
        <w:br/>
        <w:t xml:space="preserve">- 输入（备份参数）在功能需求中描述（如备份类型、范围）。  </w:t>
        <w:br/>
        <w:t>- 输出（备份日志）在外部接口（2.1.17）中确认。</w:t>
        <w:br/>
        <w:br/>
        <w:t>---</w:t>
        <w:br/>
        <w:br/>
        <w:t xml:space="preserve">#### **FR-18 恢复数据库功能**  </w:t>
        <w:br/>
        <w:t xml:space="preserve">**完整引用**：是  </w:t>
        <w:br/>
        <w:t xml:space="preserve">**理由**：  </w:t>
        <w:br/>
        <w:t xml:space="preserve">- 输入（备份文件、恢复参数）在功能需求中定义。  </w:t>
        <w:br/>
        <w:t>- 输出（恢复日志）在外部接口（2.1.13）中确认。</w:t>
        <w:br/>
        <w:br/>
        <w:t>---</w:t>
        <w:br/>
        <w:br/>
        <w:t xml:space="preserve">#### **FR-19 管理备份日志功能**  </w:t>
        <w:br/>
        <w:t xml:space="preserve">**完整引用**：是  </w:t>
        <w:br/>
        <w:t xml:space="preserve">**理由**：  </w:t>
        <w:br/>
        <w:t xml:space="preserve">- 输入（备份日志条目）通过FR-17定义。  </w:t>
        <w:br/>
        <w:t>- 输出（日志管理操作）在外部接口（2.1.19）中确认。</w:t>
        <w:br/>
        <w:br/>
        <w:t>---</w:t>
        <w:br/>
        <w:br/>
        <w:t xml:space="preserve">#### **FR-20 删除过期邮件功能**  </w:t>
        <w:br/>
        <w:t xml:space="preserve">**完整引用**：是  </w:t>
        <w:br/>
        <w:t xml:space="preserve">**理由**：  </w:t>
        <w:br/>
        <w:t xml:space="preserve">- 输入（过期邮件）通过FR-14和FR-17定义。  </w:t>
        <w:br/>
        <w:t>- 输出（删除日志）在外部接口（2.1.15）中确认。</w:t>
        <w:br/>
        <w:br/>
        <w:t>---</w:t>
        <w:br/>
        <w:br/>
        <w:t xml:space="preserve">#### **FR-21 查看邮件备份记录功能**  </w:t>
        <w:br/>
        <w:t xml:space="preserve">**完整引用**：是  </w:t>
        <w:br/>
        <w:t xml:space="preserve">**理由**：  </w:t>
        <w:br/>
        <w:t xml:space="preserve">- 输入（备份记录条目）通过FR-17定义。  </w:t>
        <w:br/>
        <w:t>- 输出（查看日志）在外部接口（2.1.14）中确认。</w:t>
        <w:br/>
        <w:br/>
        <w:t>---</w:t>
        <w:br/>
        <w:br/>
        <w:t xml:space="preserve">### 总结  </w:t>
        <w:br/>
        <w:t xml:space="preserve">**所有功能点（FR-01至FR-21）均符合完整引用要求**。  </w:t>
        <w:br/>
        <w:t>每个功能的输入、输出及关联操作均在需求规约说明书的功能需求或外部接口部分明确定义，未引用外部未说明的内容。</w:t>
      </w:r>
    </w:p>
    <w:p>
      <w:pPr>
        <w:pStyle w:val="Heading1"/>
      </w:pPr>
      <w:r>
        <w:t>Feasible Analysis</w:t>
      </w:r>
    </w:p>
    <w:p>
      <w:r>
        <w:t>### 可行性评估表</w:t>
        <w:br/>
        <w:br/>
        <w:t>| 功能编号 | 可行性 | 判断理由 |</w:t>
        <w:br/>
        <w:t>|----------|--------|----------|</w:t>
        <w:br/>
        <w:t>| **FR-01** | 可行 | 输入包含完整的邮件表单字段（发件人、收件人、主题、内容、附件），系统可通过数据库存储及完整性校验（如非空验证）实现输出。 |</w:t>
        <w:br/>
        <w:t>| **FR-02** | 可行 | 发送邮件需依赖邮件服务器接口（如SMTP），输入包含已登记的邮件及策略，输出可通过日志记录和状态更新完成。 |</w:t>
        <w:br/>
        <w:t>| **FR-03** | 可行 | 接收邮件需集成邮件协议（如IMAP/POP3），输入为新邮件和策略，输出通过解析邮件内容并存入数据库实现。 |</w:t>
        <w:br/>
        <w:t>| **FR-04** | 可行 | 输入为邮件和格式化选项，通过模板引擎或富文本编辑器可实现内容调整，输出为格式化后的邮件保存。 |</w:t>
        <w:br/>
        <w:t>| **FR-05** | 可行 | 输入为搜索条件（关键词、日期等），输出通过数据库查询（如SQL或全文索引）实现邮件列表返回。 |</w:t>
        <w:br/>
        <w:t>| **FR-06** | 可行 | 输入为邮件和目标文件夹，通过数据库关联表或文件系统操作实现移动/复制，输出为关联关系更新。 |</w:t>
        <w:br/>
        <w:t>| **FR-07** | 可行 | 输入为通讯组信息，通过CRUD操作管理通讯组与联系人的多对多关系，输出为数据库记录更新。 |</w:t>
        <w:br/>
        <w:t>| **FR-08** | 可行 | 输入为联系人信息，通过数据库插入操作及关联通讯组实现输出，技术复杂度低。 |</w:t>
        <w:br/>
        <w:t>| **FR-09** | 可行 | 输入为修改后的联系人数据，通过数据库更新操作实现信息变更，关联关系同步更新。 |</w:t>
        <w:br/>
        <w:t>| **FR-10** | 可行 | 输入为待删除联系人，通过级联删除或解除关联关系实现输出，需注意数据一致性。 |</w:t>
        <w:br/>
        <w:t>| **FR-11** | 可行 | 输入为提醒参数，通过定时任务（如Celery或Quartz）触发提醒通知，输出为日志记录。 |</w:t>
        <w:br/>
        <w:t>| **FR-12** | 可行 | 输入为日程信息，通过日历功能模块实现日程管理，提醒功能与FR-11类似，技术成熟。 |</w:t>
        <w:br/>
        <w:t>| **FR-13** | 部分可行 | 输入为策略规则，需设计灵活的策略引擎（如规则模板或脚本），实现复杂度较高，但技术上可行。 |</w:t>
        <w:br/>
        <w:t>| **FR-14** | 可行 | 输入为邮件和存储位置，通过迁移数据至归档存储（如冷存储或独立数据库）实现状态更新。 |</w:t>
        <w:br/>
        <w:t>| **FR-15** | 可行 | 输入为归档邮件查询，输出通过访问归档存储检索数据，技术实现简单。 |</w:t>
        <w:br/>
        <w:t>| **FR-16** | 可行 | 输入为待删除归档邮件，通过删除操作及状态更新实现，需考虑存储系统权限。 |</w:t>
        <w:br/>
        <w:t>| **FR-17** | 可行 | 输入为备份参数，通过备份工具（如mysqldump或文件系统备份）生成备份文件并记录日志。 |</w:t>
        <w:br/>
        <w:t>| **FR-18** | 可行 | 输入为备份文件，通过恢复工具（如数据库还原命令）覆盖现有数据，需验证备份完整性。 |</w:t>
        <w:br/>
        <w:t>| **FR-19** | 可行 | 输入为日志筛选条件，通过日志数据库查询和导出功能（如CSV生成）实现输出。 |</w:t>
        <w:br/>
        <w:t>| **FR-20** | 可行 | 输入为过期策略，通过定时任务清理超期数据（如基于创建时间的删除）实现输出。 |</w:t>
        <w:br/>
        <w:t>| **FR-21** | 可行 | 输入为备份记录查询，通过日志数据库检索及导出模块（如Excel库）实现输出。 |</w:t>
        <w:br/>
        <w:br/>
        <w:t>---</w:t>
        <w:br/>
        <w:br/>
        <w:t>### 可行性统计</w:t>
        <w:br/>
        <w:t>- **可行需求**：21项（全部功能均可行）</w:t>
        <w:br/>
        <w:t>- **不可行需求**：0项</w:t>
        <w:br/>
        <w:br/>
        <w:t>### 关键说明</w:t>
        <w:br/>
        <w:t xml:space="preserve">1. **技术依赖**：  </w:t>
        <w:br/>
        <w:t xml:space="preserve">   - 邮件发送/接收（FR-02/FR-03）需依赖外部邮件服务接口（如SMTP/IMAP），需确保协议兼容性。</w:t>
        <w:br/>
        <w:t xml:space="preserve">   - 策略引擎（FR-13）可能需要引入规则管理系统（如Drools）或自定义脚本解析，增加开发成本但非不可行。</w:t>
        <w:br/>
        <w:br/>
        <w:t xml:space="preserve">2. **风险点**：  </w:t>
        <w:br/>
        <w:t xml:space="preserve">   - **高并发场景**：邮件接收/发送（FR-02/FR-03）在大量用户同时操作时需优化队列处理。</w:t>
        <w:br/>
        <w:t xml:space="preserve">   - **数据一致性**：删除操作（FR-10/FR-16/FR-20）需设计事务机制防止数据残留。</w:t>
        <w:br/>
        <w:br/>
        <w:t xml:space="preserve">3. **扩展性建议**：  </w:t>
        <w:br/>
        <w:t xml:space="preserve">   - 对策略管理（FR-13）提供可视化配置界面以降低使用门槛。</w:t>
        <w:br/>
        <w:t xml:space="preserve">   - 归档存储（FR-14）采用分布式存储方案（如HDFS）以支持海量邮件长期保存。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