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C2A" w:rsidRDefault="000F5A67">
      <w:pPr>
        <w:jc w:val="center"/>
        <w:rPr>
          <w:sz w:val="48"/>
          <w:szCs w:val="48"/>
        </w:rPr>
      </w:pPr>
      <w:r>
        <w:rPr>
          <w:rFonts w:hint="eastAsia"/>
          <w:sz w:val="48"/>
          <w:szCs w:val="48"/>
        </w:rPr>
        <w:t>软件使用说明书</w:t>
      </w:r>
    </w:p>
    <w:p w:rsidR="00332C2A" w:rsidRDefault="000F5A67">
      <w:pPr>
        <w:pStyle w:val="1"/>
        <w:numPr>
          <w:ilvl w:val="0"/>
          <w:numId w:val="1"/>
        </w:numPr>
        <w:ind w:firstLineChars="0"/>
        <w:rPr>
          <w:sz w:val="32"/>
          <w:szCs w:val="32"/>
        </w:rPr>
      </w:pPr>
      <w:r>
        <w:rPr>
          <w:rFonts w:hint="eastAsia"/>
          <w:sz w:val="32"/>
          <w:szCs w:val="32"/>
        </w:rPr>
        <w:t>引言</w:t>
      </w:r>
    </w:p>
    <w:p w:rsidR="00332C2A" w:rsidRDefault="000F5A67">
      <w:pPr>
        <w:pStyle w:val="1"/>
        <w:numPr>
          <w:ilvl w:val="0"/>
          <w:numId w:val="2"/>
        </w:numPr>
        <w:ind w:firstLineChars="0"/>
        <w:rPr>
          <w:sz w:val="28"/>
          <w:szCs w:val="28"/>
        </w:rPr>
      </w:pPr>
      <w:r>
        <w:rPr>
          <w:rFonts w:hint="eastAsia"/>
          <w:sz w:val="28"/>
          <w:szCs w:val="28"/>
        </w:rPr>
        <w:t>编写目的</w:t>
      </w:r>
    </w:p>
    <w:p w:rsidR="00332C2A" w:rsidRDefault="000F5A67">
      <w:pPr>
        <w:spacing w:line="360" w:lineRule="auto"/>
        <w:ind w:firstLineChars="200" w:firstLine="420"/>
        <w:rPr>
          <w:rFonts w:ascii="微软雅黑" w:eastAsia="微软雅黑" w:hAnsi="微软雅黑"/>
        </w:rPr>
      </w:pPr>
      <w:r>
        <w:rPr>
          <w:rFonts w:ascii="微软雅黑" w:eastAsia="微软雅黑" w:hAnsi="微软雅黑" w:hint="eastAsia"/>
        </w:rPr>
        <w:t>本软件是针对被多种放射性核素污染的食品在不同膳食结构下对人体的危害程度的评估软件。为了让用户在第一次使用时可以很快上手操作，特地编写此用户操作手册，为用户提供便利，解决在使用本软件时碰到的一系列疑问。</w:t>
      </w:r>
    </w:p>
    <w:p w:rsidR="00332C2A" w:rsidRDefault="000F5A67">
      <w:pPr>
        <w:spacing w:line="360" w:lineRule="auto"/>
        <w:ind w:firstLineChars="200" w:firstLine="420"/>
        <w:rPr>
          <w:rFonts w:ascii="微软雅黑" w:eastAsia="微软雅黑" w:hAnsi="微软雅黑"/>
        </w:rPr>
      </w:pPr>
      <w:r>
        <w:rPr>
          <w:rFonts w:ascii="微软雅黑" w:eastAsia="微软雅黑" w:hAnsi="微软雅黑" w:hint="eastAsia"/>
        </w:rPr>
        <w:t>读者对象：使用本软件的所有用户。</w:t>
      </w:r>
    </w:p>
    <w:p w:rsidR="00332C2A" w:rsidRDefault="000F5A67">
      <w:pPr>
        <w:pStyle w:val="1"/>
        <w:numPr>
          <w:ilvl w:val="0"/>
          <w:numId w:val="2"/>
        </w:numPr>
        <w:ind w:firstLineChars="0"/>
        <w:rPr>
          <w:sz w:val="28"/>
          <w:szCs w:val="28"/>
        </w:rPr>
      </w:pPr>
      <w:r>
        <w:rPr>
          <w:rFonts w:hint="eastAsia"/>
          <w:sz w:val="28"/>
          <w:szCs w:val="28"/>
        </w:rPr>
        <w:t>项目背景</w:t>
      </w:r>
    </w:p>
    <w:p w:rsidR="00332C2A" w:rsidRDefault="000F5A67">
      <w:pPr>
        <w:spacing w:line="360" w:lineRule="auto"/>
        <w:ind w:firstLineChars="200" w:firstLine="420"/>
        <w:rPr>
          <w:rFonts w:ascii="微软雅黑" w:eastAsia="微软雅黑" w:hAnsi="微软雅黑"/>
        </w:rPr>
      </w:pPr>
      <w:r>
        <w:rPr>
          <w:rFonts w:ascii="微软雅黑" w:eastAsia="微软雅黑" w:hAnsi="微软雅黑"/>
        </w:rPr>
        <w:t>食品安全问题已日渐成为我国公民在生产、生活中关注的焦点问题，与食品添加剂、蔬果农药残留等污染相比，食品中的放射性污染对人民生产、生活的危害显得异常的突出。放射性核素可通过空气、水、食物链及呼吸等途径进入体内，在人体内滞留造成潜在的危害</w:t>
      </w:r>
      <w:r>
        <w:rPr>
          <w:rFonts w:ascii="微软雅黑" w:eastAsia="微软雅黑" w:hAnsi="微软雅黑" w:hint="eastAsia"/>
        </w:rPr>
        <w:t>。食品放射性污染给人体带来的危害是小剂量、长时间的内照射作用。因此，对于已受放射性污染的食品，需要加强监测，在最大程度上保障食品的安全性，防止已受放射性污染的食品对人体产生危害。本软件尽可能为用户提供充足的信息和快捷方便的</w:t>
      </w:r>
      <w:r w:rsidR="00A22AEA">
        <w:rPr>
          <w:rFonts w:ascii="微软雅黑" w:eastAsia="微软雅黑" w:hAnsi="微软雅黑" w:hint="eastAsia"/>
        </w:rPr>
        <w:t>评估</w:t>
      </w:r>
      <w:r>
        <w:rPr>
          <w:rFonts w:ascii="微软雅黑" w:eastAsia="微软雅黑" w:hAnsi="微软雅黑" w:hint="eastAsia"/>
        </w:rPr>
        <w:t>。</w:t>
      </w:r>
    </w:p>
    <w:p w:rsidR="00332C2A" w:rsidRDefault="000F5A67">
      <w:pPr>
        <w:spacing w:line="360" w:lineRule="auto"/>
        <w:ind w:firstLineChars="200" w:firstLine="420"/>
        <w:rPr>
          <w:rFonts w:ascii="微软雅黑" w:eastAsia="微软雅黑" w:hAnsi="微软雅黑"/>
        </w:rPr>
      </w:pPr>
      <w:r>
        <w:rPr>
          <w:rFonts w:ascii="微软雅黑" w:eastAsia="微软雅黑" w:hAnsi="微软雅黑" w:hint="eastAsia"/>
        </w:rPr>
        <w:t>委托单位：北京化工大学</w:t>
      </w:r>
    </w:p>
    <w:p w:rsidR="00332C2A" w:rsidRDefault="000F5A67">
      <w:pPr>
        <w:spacing w:line="360" w:lineRule="auto"/>
        <w:ind w:firstLineChars="200" w:firstLine="420"/>
        <w:rPr>
          <w:rFonts w:ascii="微软雅黑" w:eastAsia="微软雅黑" w:hAnsi="微软雅黑"/>
        </w:rPr>
      </w:pPr>
      <w:r>
        <w:rPr>
          <w:rFonts w:ascii="微软雅黑" w:eastAsia="微软雅黑" w:hAnsi="微软雅黑" w:hint="eastAsia"/>
        </w:rPr>
        <w:t>开发单位：</w:t>
      </w:r>
    </w:p>
    <w:p w:rsidR="00332C2A" w:rsidRDefault="000F5A67">
      <w:pPr>
        <w:spacing w:line="360" w:lineRule="auto"/>
        <w:ind w:firstLineChars="200" w:firstLine="420"/>
        <w:rPr>
          <w:rFonts w:ascii="微软雅黑" w:eastAsia="微软雅黑" w:hAnsi="微软雅黑"/>
        </w:rPr>
      </w:pPr>
      <w:r>
        <w:rPr>
          <w:rFonts w:ascii="微软雅黑" w:eastAsia="微软雅黑" w:hAnsi="微软雅黑" w:hint="eastAsia"/>
        </w:rPr>
        <w:t>主管部门：</w:t>
      </w:r>
    </w:p>
    <w:p w:rsidR="00332C2A" w:rsidRDefault="000F5A67">
      <w:pPr>
        <w:pStyle w:val="1"/>
        <w:numPr>
          <w:ilvl w:val="0"/>
          <w:numId w:val="2"/>
        </w:numPr>
        <w:ind w:firstLineChars="0"/>
        <w:rPr>
          <w:sz w:val="28"/>
          <w:szCs w:val="28"/>
        </w:rPr>
      </w:pPr>
      <w:r>
        <w:rPr>
          <w:rFonts w:hint="eastAsia"/>
          <w:sz w:val="28"/>
          <w:szCs w:val="28"/>
        </w:rPr>
        <w:t>定义</w:t>
      </w:r>
    </w:p>
    <w:p w:rsidR="00332C2A" w:rsidRDefault="000F5A67">
      <w:pPr>
        <w:rPr>
          <w:rFonts w:ascii="微软雅黑" w:eastAsia="微软雅黑" w:hAnsi="微软雅黑"/>
        </w:rPr>
      </w:pPr>
      <w:r>
        <w:rPr>
          <w:rFonts w:ascii="微软雅黑" w:eastAsia="微软雅黑" w:hAnsi="微软雅黑" w:hint="eastAsia"/>
          <w:b/>
        </w:rPr>
        <w:t>F ：</w:t>
      </w:r>
      <w:r>
        <w:rPr>
          <w:rFonts w:ascii="微软雅黑" w:eastAsia="微软雅黑" w:hAnsi="微软雅黑" w:hint="eastAsia"/>
        </w:rPr>
        <w:t>女性</w:t>
      </w:r>
    </w:p>
    <w:p w:rsidR="00332C2A" w:rsidRDefault="000F5A67">
      <w:pPr>
        <w:rPr>
          <w:rFonts w:ascii="微软雅黑" w:eastAsia="微软雅黑" w:hAnsi="微软雅黑"/>
        </w:rPr>
      </w:pPr>
      <w:r>
        <w:rPr>
          <w:rFonts w:ascii="微软雅黑" w:eastAsia="微软雅黑" w:hAnsi="微软雅黑" w:hint="eastAsia"/>
          <w:b/>
        </w:rPr>
        <w:t>M：</w:t>
      </w:r>
      <w:r>
        <w:rPr>
          <w:rFonts w:ascii="微软雅黑" w:eastAsia="微软雅黑" w:hAnsi="微软雅黑" w:hint="eastAsia"/>
        </w:rPr>
        <w:t>男性</w:t>
      </w:r>
    </w:p>
    <w:p w:rsidR="00332C2A" w:rsidRDefault="000F5A67">
      <w:pPr>
        <w:rPr>
          <w:rFonts w:ascii="微软雅黑" w:eastAsia="微软雅黑" w:hAnsi="微软雅黑"/>
        </w:rPr>
      </w:pPr>
      <w:r>
        <w:rPr>
          <w:rFonts w:ascii="微软雅黑" w:eastAsia="微软雅黑" w:hAnsi="微软雅黑" w:hint="eastAsia"/>
          <w:b/>
        </w:rPr>
        <w:t>210Po：</w:t>
      </w:r>
      <w:r>
        <w:rPr>
          <w:rFonts w:ascii="微软雅黑" w:eastAsia="微软雅黑" w:hAnsi="微软雅黑"/>
        </w:rPr>
        <w:t>钋-210</w:t>
      </w:r>
    </w:p>
    <w:p w:rsidR="00332C2A" w:rsidRDefault="000F5A67">
      <w:pPr>
        <w:rPr>
          <w:rFonts w:ascii="微软雅黑" w:eastAsia="微软雅黑" w:hAnsi="微软雅黑"/>
        </w:rPr>
      </w:pPr>
      <w:r>
        <w:rPr>
          <w:rFonts w:ascii="微软雅黑" w:eastAsia="微软雅黑" w:hAnsi="微软雅黑" w:hint="eastAsia"/>
          <w:b/>
        </w:rPr>
        <w:t>226Ra：</w:t>
      </w:r>
      <w:r>
        <w:rPr>
          <w:rFonts w:ascii="微软雅黑" w:eastAsia="微软雅黑" w:hAnsi="微软雅黑"/>
        </w:rPr>
        <w:t>镭-226</w:t>
      </w:r>
    </w:p>
    <w:p w:rsidR="00332C2A" w:rsidRDefault="000F5A67">
      <w:pPr>
        <w:rPr>
          <w:rFonts w:ascii="微软雅黑" w:eastAsia="微软雅黑" w:hAnsi="微软雅黑"/>
        </w:rPr>
      </w:pPr>
      <w:r>
        <w:rPr>
          <w:rFonts w:ascii="微软雅黑" w:eastAsia="微软雅黑" w:hAnsi="微软雅黑" w:hint="eastAsia"/>
          <w:b/>
        </w:rPr>
        <w:lastRenderedPageBreak/>
        <w:t>238U：</w:t>
      </w:r>
      <w:r>
        <w:rPr>
          <w:rFonts w:ascii="微软雅黑" w:eastAsia="微软雅黑" w:hAnsi="微软雅黑" w:hint="eastAsia"/>
        </w:rPr>
        <w:t>铀-238</w:t>
      </w:r>
    </w:p>
    <w:p w:rsidR="00332C2A" w:rsidRDefault="000F5A67">
      <w:pPr>
        <w:rPr>
          <w:rFonts w:ascii="微软雅黑" w:eastAsia="微软雅黑" w:hAnsi="微软雅黑"/>
        </w:rPr>
      </w:pPr>
      <w:r>
        <w:rPr>
          <w:rFonts w:ascii="微软雅黑" w:eastAsia="微软雅黑" w:hAnsi="微软雅黑" w:hint="eastAsia"/>
          <w:b/>
        </w:rPr>
        <w:t>232Th：</w:t>
      </w:r>
      <w:r>
        <w:rPr>
          <w:rFonts w:ascii="微软雅黑" w:eastAsia="微软雅黑" w:hAnsi="微软雅黑" w:hint="eastAsia"/>
        </w:rPr>
        <w:t>钍-232</w:t>
      </w:r>
    </w:p>
    <w:p w:rsidR="00332C2A" w:rsidRDefault="000F5A67">
      <w:pPr>
        <w:rPr>
          <w:rFonts w:ascii="微软雅黑" w:eastAsia="微软雅黑" w:hAnsi="微软雅黑"/>
        </w:rPr>
      </w:pPr>
      <w:r>
        <w:rPr>
          <w:rFonts w:ascii="微软雅黑" w:eastAsia="微软雅黑" w:hAnsi="微软雅黑" w:hint="eastAsia"/>
          <w:b/>
        </w:rPr>
        <w:t>89Sr：</w:t>
      </w:r>
      <w:r>
        <w:rPr>
          <w:rFonts w:ascii="微软雅黑" w:eastAsia="微软雅黑" w:hAnsi="微软雅黑" w:hint="eastAsia"/>
        </w:rPr>
        <w:t>锶-89</w:t>
      </w:r>
    </w:p>
    <w:p w:rsidR="00332C2A" w:rsidRDefault="000F5A67">
      <w:pPr>
        <w:rPr>
          <w:rFonts w:ascii="微软雅黑" w:eastAsia="微软雅黑" w:hAnsi="微软雅黑"/>
        </w:rPr>
      </w:pPr>
      <w:r>
        <w:rPr>
          <w:rFonts w:ascii="微软雅黑" w:eastAsia="微软雅黑" w:hAnsi="微软雅黑" w:hint="eastAsia"/>
          <w:b/>
        </w:rPr>
        <w:t>90Sr：</w:t>
      </w:r>
      <w:r>
        <w:rPr>
          <w:rFonts w:ascii="微软雅黑" w:eastAsia="微软雅黑" w:hAnsi="微软雅黑" w:hint="eastAsia"/>
        </w:rPr>
        <w:t>锶-90</w:t>
      </w:r>
    </w:p>
    <w:p w:rsidR="00332C2A" w:rsidRDefault="000F5A67">
      <w:pPr>
        <w:rPr>
          <w:rFonts w:ascii="微软雅黑" w:eastAsia="微软雅黑" w:hAnsi="微软雅黑"/>
        </w:rPr>
      </w:pPr>
      <w:r>
        <w:rPr>
          <w:rFonts w:ascii="微软雅黑" w:eastAsia="微软雅黑" w:hAnsi="微软雅黑" w:hint="eastAsia"/>
          <w:b/>
        </w:rPr>
        <w:t>131I：</w:t>
      </w:r>
      <w:r>
        <w:rPr>
          <w:rFonts w:ascii="微软雅黑" w:eastAsia="微软雅黑" w:hAnsi="微软雅黑" w:hint="eastAsia"/>
        </w:rPr>
        <w:t>碘-131</w:t>
      </w:r>
    </w:p>
    <w:p w:rsidR="00332C2A" w:rsidRDefault="000F5A67">
      <w:pPr>
        <w:rPr>
          <w:rFonts w:ascii="微软雅黑" w:eastAsia="微软雅黑" w:hAnsi="微软雅黑"/>
        </w:rPr>
      </w:pPr>
      <w:r>
        <w:rPr>
          <w:rFonts w:ascii="微软雅黑" w:eastAsia="微软雅黑" w:hAnsi="微软雅黑" w:hint="eastAsia"/>
          <w:b/>
        </w:rPr>
        <w:t>137Cs：</w:t>
      </w:r>
      <w:r>
        <w:rPr>
          <w:rFonts w:ascii="微软雅黑" w:eastAsia="微软雅黑" w:hAnsi="微软雅黑" w:hint="eastAsia"/>
        </w:rPr>
        <w:t>铯-137</w:t>
      </w:r>
    </w:p>
    <w:p w:rsidR="00332C2A" w:rsidRDefault="000F5A67">
      <w:pPr>
        <w:rPr>
          <w:rFonts w:ascii="微软雅黑" w:eastAsia="微软雅黑" w:hAnsi="微软雅黑"/>
        </w:rPr>
      </w:pPr>
      <w:r>
        <w:rPr>
          <w:rFonts w:ascii="微软雅黑" w:eastAsia="微软雅黑" w:hAnsi="微软雅黑" w:hint="eastAsia"/>
          <w:b/>
        </w:rPr>
        <w:t>239Pu：</w:t>
      </w:r>
      <w:r>
        <w:rPr>
          <w:rFonts w:ascii="微软雅黑" w:eastAsia="微软雅黑" w:hAnsi="微软雅黑" w:hint="eastAsia"/>
        </w:rPr>
        <w:t>钚-239</w:t>
      </w:r>
    </w:p>
    <w:p w:rsidR="00332C2A" w:rsidRDefault="000F5A67">
      <w:pPr>
        <w:ind w:left="630" w:hangingChars="300" w:hanging="630"/>
        <w:rPr>
          <w:rFonts w:ascii="微软雅黑" w:eastAsia="微软雅黑" w:hAnsi="微软雅黑"/>
        </w:rPr>
      </w:pPr>
      <w:r>
        <w:rPr>
          <w:rFonts w:ascii="微软雅黑" w:eastAsia="微软雅黑" w:hAnsi="微软雅黑" w:hint="eastAsia"/>
          <w:b/>
        </w:rPr>
        <w:t>检测结果：</w:t>
      </w:r>
      <w:r>
        <w:rPr>
          <w:rFonts w:ascii="微软雅黑" w:eastAsia="微软雅黑" w:hAnsi="微软雅黑" w:hint="eastAsia"/>
        </w:rPr>
        <w:t>某类食物中某种放射性核素的含量，用受照剂量表示，单位为</w:t>
      </w:r>
      <w:proofErr w:type="spellStart"/>
      <w:r>
        <w:rPr>
          <w:rFonts w:ascii="微软雅黑" w:eastAsia="微软雅黑" w:hAnsi="微软雅黑" w:hint="eastAsia"/>
        </w:rPr>
        <w:t>Bq</w:t>
      </w:r>
      <w:proofErr w:type="spellEnd"/>
      <w:r>
        <w:rPr>
          <w:rFonts w:ascii="微软雅黑" w:eastAsia="微软雅黑" w:hAnsi="微软雅黑" w:hint="eastAsia"/>
        </w:rPr>
        <w:t>/kg（</w:t>
      </w:r>
      <w:proofErr w:type="spellStart"/>
      <w:r>
        <w:rPr>
          <w:rFonts w:ascii="微软雅黑" w:eastAsia="微软雅黑" w:hAnsi="微软雅黑" w:hint="eastAsia"/>
        </w:rPr>
        <w:t>Th</w:t>
      </w:r>
      <w:proofErr w:type="spellEnd"/>
      <w:r>
        <w:rPr>
          <w:rFonts w:ascii="微软雅黑" w:eastAsia="微软雅黑" w:hAnsi="微软雅黑" w:hint="eastAsia"/>
        </w:rPr>
        <w:t>和U的单位为mg/kg）。</w:t>
      </w:r>
    </w:p>
    <w:p w:rsidR="00332C2A" w:rsidRDefault="000F5A67">
      <w:pPr>
        <w:rPr>
          <w:rFonts w:ascii="微软雅黑" w:eastAsia="微软雅黑" w:hAnsi="微软雅黑"/>
        </w:rPr>
      </w:pPr>
      <w:r>
        <w:rPr>
          <w:rFonts w:ascii="微软雅黑" w:eastAsia="微软雅黑" w:hAnsi="微软雅黑" w:hint="eastAsia"/>
          <w:b/>
        </w:rPr>
        <w:t>剂量限值：</w:t>
      </w:r>
      <w:r>
        <w:rPr>
          <w:rFonts w:ascii="微软雅黑" w:eastAsia="微软雅黑" w:hAnsi="微软雅黑" w:hint="eastAsia"/>
        </w:rPr>
        <w:t>GB 14883-1994中规定的不同放射性核素在不同食物类型中的限制浓度。</w:t>
      </w:r>
    </w:p>
    <w:p w:rsidR="00332C2A" w:rsidRDefault="000F5A67">
      <w:pPr>
        <w:ind w:left="630" w:hangingChars="300" w:hanging="630"/>
        <w:rPr>
          <w:rFonts w:ascii="微软雅黑" w:eastAsia="微软雅黑" w:hAnsi="微软雅黑"/>
        </w:rPr>
      </w:pPr>
      <w:r>
        <w:rPr>
          <w:rFonts w:ascii="微软雅黑" w:eastAsia="微软雅黑" w:hAnsi="微软雅黑" w:hint="eastAsia"/>
          <w:b/>
        </w:rPr>
        <w:t>实际受照剂量：</w:t>
      </w:r>
      <w:r>
        <w:rPr>
          <w:rFonts w:ascii="微软雅黑" w:eastAsia="微软雅黑" w:hAnsi="微软雅黑" w:hint="eastAsia"/>
        </w:rPr>
        <w:t>指定放射性核素在指定的膳食结构下加权的总受照剂量，单位为</w:t>
      </w:r>
      <w:proofErr w:type="spellStart"/>
      <w:r>
        <w:rPr>
          <w:rFonts w:ascii="微软雅黑" w:eastAsia="微软雅黑" w:hAnsi="微软雅黑" w:hint="eastAsia"/>
        </w:rPr>
        <w:t>Bq</w:t>
      </w:r>
      <w:proofErr w:type="spellEnd"/>
      <w:r>
        <w:rPr>
          <w:rFonts w:ascii="微软雅黑" w:eastAsia="微软雅黑" w:hAnsi="微软雅黑" w:hint="eastAsia"/>
        </w:rPr>
        <w:t>/kg（</w:t>
      </w:r>
      <w:proofErr w:type="spellStart"/>
      <w:r>
        <w:rPr>
          <w:rFonts w:ascii="微软雅黑" w:eastAsia="微软雅黑" w:hAnsi="微软雅黑" w:hint="eastAsia"/>
        </w:rPr>
        <w:t>Th</w:t>
      </w:r>
      <w:proofErr w:type="spellEnd"/>
      <w:r>
        <w:rPr>
          <w:rFonts w:ascii="微软雅黑" w:eastAsia="微软雅黑" w:hAnsi="微软雅黑" w:hint="eastAsia"/>
        </w:rPr>
        <w:t>和U的单位为mg/kg）。</w:t>
      </w:r>
    </w:p>
    <w:p w:rsidR="00332C2A" w:rsidRDefault="000F5A67">
      <w:pPr>
        <w:ind w:left="630" w:hangingChars="300" w:hanging="630"/>
        <w:rPr>
          <w:rFonts w:ascii="微软雅黑" w:eastAsia="微软雅黑" w:hAnsi="微软雅黑"/>
        </w:rPr>
      </w:pPr>
      <w:r>
        <w:rPr>
          <w:rFonts w:ascii="微软雅黑" w:eastAsia="微软雅黑" w:hAnsi="微软雅黑" w:hint="eastAsia"/>
          <w:b/>
        </w:rPr>
        <w:t>实际受照有效剂量：</w:t>
      </w:r>
      <w:r>
        <w:rPr>
          <w:rFonts w:ascii="微软雅黑" w:eastAsia="微软雅黑" w:hAnsi="微软雅黑" w:hint="eastAsia"/>
        </w:rPr>
        <w:t>指定放射性核素在指定的膳食结构下加权的总受照有效剂量，单位为</w:t>
      </w:r>
      <w:proofErr w:type="spellStart"/>
      <w:r>
        <w:rPr>
          <w:rFonts w:ascii="微软雅黑" w:eastAsia="微软雅黑" w:hAnsi="微软雅黑" w:hint="eastAsia"/>
        </w:rPr>
        <w:t>Sv</w:t>
      </w:r>
      <w:proofErr w:type="spellEnd"/>
      <w:r>
        <w:rPr>
          <w:rFonts w:ascii="微软雅黑" w:eastAsia="微软雅黑" w:hAnsi="微软雅黑" w:hint="eastAsia"/>
        </w:rPr>
        <w:t>。</w:t>
      </w:r>
    </w:p>
    <w:p w:rsidR="00332C2A" w:rsidRDefault="000F5A67">
      <w:pPr>
        <w:ind w:left="630" w:hangingChars="300" w:hanging="630"/>
        <w:rPr>
          <w:rFonts w:ascii="微软雅黑" w:eastAsia="微软雅黑" w:hAnsi="微软雅黑"/>
        </w:rPr>
      </w:pPr>
      <w:r>
        <w:rPr>
          <w:rFonts w:ascii="微软雅黑" w:eastAsia="微软雅黑" w:hAnsi="微软雅黑" w:hint="eastAsia"/>
          <w:b/>
        </w:rPr>
        <w:t>有效剂量：</w:t>
      </w:r>
      <w:r>
        <w:rPr>
          <w:rFonts w:ascii="微软雅黑" w:eastAsia="微软雅黑" w:hAnsi="微软雅黑" w:hint="eastAsia"/>
        </w:rPr>
        <w:t>身体所有器官和组织的当量剂量加权后的总剂量（当量剂量指的是平均在一个组织或器官上被吸收的剂量对生物效应加权后的剂量。权重因子的值为国际辐射防护委员会推荐的各种类型放射性核素在身体上或在身体内部和选择的组织和器官中吸收量）。</w:t>
      </w:r>
    </w:p>
    <w:p w:rsidR="00332C2A" w:rsidRDefault="000F5A67">
      <w:pPr>
        <w:pStyle w:val="1"/>
        <w:numPr>
          <w:ilvl w:val="0"/>
          <w:numId w:val="1"/>
        </w:numPr>
        <w:ind w:firstLineChars="0"/>
        <w:rPr>
          <w:sz w:val="32"/>
          <w:szCs w:val="32"/>
        </w:rPr>
      </w:pPr>
      <w:r>
        <w:rPr>
          <w:rFonts w:hint="eastAsia"/>
          <w:sz w:val="32"/>
          <w:szCs w:val="32"/>
        </w:rPr>
        <w:t>软件概述</w:t>
      </w:r>
    </w:p>
    <w:p w:rsidR="00332C2A" w:rsidRDefault="000F5A67">
      <w:pPr>
        <w:pStyle w:val="1"/>
        <w:numPr>
          <w:ilvl w:val="0"/>
          <w:numId w:val="3"/>
        </w:numPr>
        <w:ind w:firstLineChars="0"/>
        <w:rPr>
          <w:sz w:val="28"/>
          <w:szCs w:val="28"/>
        </w:rPr>
      </w:pPr>
      <w:r>
        <w:rPr>
          <w:sz w:val="28"/>
          <w:szCs w:val="28"/>
        </w:rPr>
        <w:t>目标</w:t>
      </w:r>
    </w:p>
    <w:p w:rsidR="00332C2A" w:rsidRDefault="000F5A67" w:rsidP="00D8784E">
      <w:pPr>
        <w:spacing w:line="360" w:lineRule="auto"/>
        <w:ind w:firstLineChars="200" w:firstLine="420"/>
        <w:rPr>
          <w:rFonts w:ascii="微软雅黑" w:eastAsia="微软雅黑" w:hAnsi="微软雅黑"/>
        </w:rPr>
      </w:pPr>
      <w:r>
        <w:rPr>
          <w:rFonts w:ascii="微软雅黑" w:eastAsia="微软雅黑" w:hAnsi="微软雅黑" w:hint="eastAsia"/>
        </w:rPr>
        <w:t>为了能更方便、快捷的了解食品中放射性核素对人体的危害程度，开发的评估软件能为监测食品安全提供方便。本软件信息更新快，人群覆盖面广阔，满足绝大多数人群的需求。</w:t>
      </w:r>
      <w:r>
        <w:rPr>
          <w:rFonts w:ascii="微软雅黑" w:eastAsia="微软雅黑" w:hAnsi="微软雅黑" w:hint="eastAsia"/>
        </w:rPr>
        <w:lastRenderedPageBreak/>
        <w:t>通过此软件实现自动化、流程化、标准化的运维体系，系统性能稳定，方便使用，易学易用，消费量信息和国家统计局同步，有效剂量信息与国际辐射防护委员会同步。</w:t>
      </w:r>
    </w:p>
    <w:p w:rsidR="00332C2A" w:rsidRDefault="000F5A67">
      <w:pPr>
        <w:pStyle w:val="1"/>
        <w:numPr>
          <w:ilvl w:val="0"/>
          <w:numId w:val="3"/>
        </w:numPr>
        <w:ind w:firstLineChars="0"/>
        <w:rPr>
          <w:sz w:val="28"/>
          <w:szCs w:val="28"/>
        </w:rPr>
      </w:pPr>
      <w:r>
        <w:rPr>
          <w:rFonts w:hint="eastAsia"/>
          <w:sz w:val="28"/>
          <w:szCs w:val="28"/>
        </w:rPr>
        <w:t>功能</w:t>
      </w:r>
    </w:p>
    <w:p w:rsidR="00332C2A" w:rsidRDefault="000F5A67">
      <w:pPr>
        <w:rPr>
          <w:rFonts w:ascii="微软雅黑" w:eastAsia="微软雅黑" w:hAnsi="微软雅黑"/>
        </w:rPr>
      </w:pPr>
      <w:r>
        <w:rPr>
          <w:rFonts w:ascii="微软雅黑" w:eastAsia="微软雅黑" w:hAnsi="微软雅黑" w:hint="eastAsia"/>
        </w:rPr>
        <w:t>功能描述：</w:t>
      </w:r>
    </w:p>
    <w:p w:rsidR="00332C2A" w:rsidRDefault="000F5A67">
      <w:pPr>
        <w:pStyle w:val="1"/>
        <w:numPr>
          <w:ilvl w:val="0"/>
          <w:numId w:val="4"/>
        </w:numPr>
        <w:ind w:firstLineChars="0"/>
        <w:rPr>
          <w:sz w:val="24"/>
          <w:szCs w:val="24"/>
        </w:rPr>
      </w:pPr>
      <w:r>
        <w:rPr>
          <w:rFonts w:hint="eastAsia"/>
          <w:sz w:val="24"/>
          <w:szCs w:val="24"/>
        </w:rPr>
        <w:t>管理员功能</w:t>
      </w:r>
    </w:p>
    <w:p w:rsidR="00332C2A" w:rsidRDefault="000F5A67">
      <w:pPr>
        <w:pStyle w:val="1"/>
        <w:numPr>
          <w:ilvl w:val="0"/>
          <w:numId w:val="5"/>
        </w:numPr>
        <w:ind w:firstLineChars="0"/>
        <w:rPr>
          <w:rFonts w:ascii="微软雅黑" w:eastAsia="微软雅黑" w:hAnsi="微软雅黑"/>
        </w:rPr>
      </w:pPr>
      <w:r>
        <w:rPr>
          <w:rFonts w:ascii="微软雅黑" w:eastAsia="微软雅黑" w:hAnsi="微软雅黑" w:hint="eastAsia"/>
        </w:rPr>
        <w:t>管理员登录</w:t>
      </w:r>
    </w:p>
    <w:p w:rsidR="00332C2A" w:rsidRDefault="000F5A67">
      <w:pPr>
        <w:pStyle w:val="1"/>
        <w:numPr>
          <w:ilvl w:val="0"/>
          <w:numId w:val="5"/>
        </w:numPr>
        <w:ind w:firstLineChars="0"/>
        <w:rPr>
          <w:rFonts w:ascii="微软雅黑" w:eastAsia="微软雅黑" w:hAnsi="微软雅黑"/>
        </w:rPr>
      </w:pPr>
      <w:r>
        <w:rPr>
          <w:rFonts w:ascii="微软雅黑" w:eastAsia="微软雅黑" w:hAnsi="微软雅黑" w:hint="eastAsia"/>
        </w:rPr>
        <w:t>更新消费量、国家标准剂量限值、生物体内有效剂量转换信息</w:t>
      </w:r>
    </w:p>
    <w:p w:rsidR="00332C2A" w:rsidRDefault="000F5A67">
      <w:pPr>
        <w:pStyle w:val="1"/>
        <w:numPr>
          <w:ilvl w:val="0"/>
          <w:numId w:val="5"/>
        </w:numPr>
        <w:ind w:firstLineChars="0"/>
        <w:rPr>
          <w:rFonts w:ascii="微软雅黑" w:eastAsia="微软雅黑" w:hAnsi="微软雅黑"/>
        </w:rPr>
      </w:pPr>
      <w:r>
        <w:rPr>
          <w:rFonts w:ascii="微软雅黑" w:eastAsia="微软雅黑" w:hAnsi="微软雅黑" w:hint="eastAsia"/>
        </w:rPr>
        <w:t>更新放射性元素信息</w:t>
      </w:r>
    </w:p>
    <w:p w:rsidR="00332C2A" w:rsidRDefault="000F5A67">
      <w:pPr>
        <w:pStyle w:val="1"/>
        <w:numPr>
          <w:ilvl w:val="0"/>
          <w:numId w:val="4"/>
        </w:numPr>
        <w:ind w:firstLineChars="0"/>
        <w:rPr>
          <w:sz w:val="24"/>
          <w:szCs w:val="24"/>
        </w:rPr>
      </w:pPr>
      <w:r>
        <w:rPr>
          <w:rFonts w:hint="eastAsia"/>
          <w:sz w:val="24"/>
          <w:szCs w:val="24"/>
        </w:rPr>
        <w:t>普通用户</w:t>
      </w:r>
    </w:p>
    <w:p w:rsidR="00332C2A" w:rsidRDefault="000F5A67">
      <w:pPr>
        <w:pStyle w:val="1"/>
        <w:numPr>
          <w:ilvl w:val="0"/>
          <w:numId w:val="6"/>
        </w:numPr>
        <w:ind w:firstLineChars="0"/>
        <w:rPr>
          <w:rFonts w:ascii="微软雅黑" w:eastAsia="微软雅黑" w:hAnsi="微软雅黑"/>
        </w:rPr>
      </w:pPr>
      <w:r>
        <w:rPr>
          <w:rFonts w:ascii="微软雅黑" w:eastAsia="微软雅黑" w:hAnsi="微软雅黑" w:hint="eastAsia"/>
        </w:rPr>
        <w:t>导入消费量数据</w:t>
      </w:r>
    </w:p>
    <w:p w:rsidR="00332C2A" w:rsidRDefault="000F5A67">
      <w:pPr>
        <w:pStyle w:val="1"/>
        <w:numPr>
          <w:ilvl w:val="0"/>
          <w:numId w:val="6"/>
        </w:numPr>
        <w:ind w:firstLineChars="0"/>
        <w:rPr>
          <w:rFonts w:ascii="微软雅黑" w:eastAsia="微软雅黑" w:hAnsi="微软雅黑"/>
        </w:rPr>
      </w:pPr>
      <w:r>
        <w:rPr>
          <w:rFonts w:ascii="微软雅黑" w:eastAsia="微软雅黑" w:hAnsi="微软雅黑" w:hint="eastAsia"/>
        </w:rPr>
        <w:t>导入食品中放射性元素的含量</w:t>
      </w:r>
    </w:p>
    <w:p w:rsidR="00332C2A" w:rsidRDefault="000F5A67">
      <w:pPr>
        <w:pStyle w:val="1"/>
        <w:numPr>
          <w:ilvl w:val="0"/>
          <w:numId w:val="6"/>
        </w:numPr>
        <w:ind w:firstLineChars="0"/>
        <w:rPr>
          <w:rFonts w:ascii="微软雅黑" w:eastAsia="微软雅黑" w:hAnsi="微软雅黑"/>
        </w:rPr>
      </w:pPr>
      <w:r>
        <w:rPr>
          <w:rFonts w:ascii="微软雅黑" w:eastAsia="微软雅黑" w:hAnsi="微软雅黑" w:hint="eastAsia"/>
        </w:rPr>
        <w:t>评估食品中放射性元素对指定人群的危害程度</w:t>
      </w:r>
    </w:p>
    <w:p w:rsidR="00332C2A" w:rsidRDefault="000F5A67">
      <w:pPr>
        <w:pStyle w:val="1"/>
        <w:numPr>
          <w:ilvl w:val="0"/>
          <w:numId w:val="1"/>
        </w:numPr>
        <w:ind w:firstLineChars="0"/>
        <w:rPr>
          <w:sz w:val="32"/>
          <w:szCs w:val="32"/>
        </w:rPr>
      </w:pPr>
      <w:r>
        <w:rPr>
          <w:rFonts w:hint="eastAsia"/>
          <w:sz w:val="32"/>
          <w:szCs w:val="32"/>
        </w:rPr>
        <w:t>运行环境</w:t>
      </w:r>
    </w:p>
    <w:p w:rsidR="00332C2A" w:rsidRDefault="000F5A67">
      <w:pPr>
        <w:pStyle w:val="1"/>
        <w:numPr>
          <w:ilvl w:val="0"/>
          <w:numId w:val="7"/>
        </w:numPr>
        <w:ind w:firstLineChars="0"/>
        <w:rPr>
          <w:sz w:val="28"/>
          <w:szCs w:val="28"/>
        </w:rPr>
      </w:pPr>
      <w:r>
        <w:rPr>
          <w:rFonts w:hint="eastAsia"/>
          <w:sz w:val="28"/>
          <w:szCs w:val="28"/>
        </w:rPr>
        <w:t>硬件</w:t>
      </w:r>
    </w:p>
    <w:p w:rsidR="00332C2A" w:rsidRDefault="000F5A67">
      <w:pPr>
        <w:pStyle w:val="1"/>
        <w:numPr>
          <w:ilvl w:val="0"/>
          <w:numId w:val="7"/>
        </w:numPr>
        <w:ind w:firstLineChars="0"/>
        <w:rPr>
          <w:sz w:val="28"/>
          <w:szCs w:val="28"/>
        </w:rPr>
      </w:pPr>
      <w:r>
        <w:rPr>
          <w:rFonts w:hint="eastAsia"/>
          <w:sz w:val="28"/>
          <w:szCs w:val="28"/>
        </w:rPr>
        <w:t>支持浏览器</w:t>
      </w:r>
    </w:p>
    <w:p w:rsidR="001265F3" w:rsidRPr="001265F3" w:rsidRDefault="000F5A67" w:rsidP="001265F3">
      <w:pPr>
        <w:pStyle w:val="1"/>
        <w:numPr>
          <w:ilvl w:val="0"/>
          <w:numId w:val="1"/>
        </w:numPr>
        <w:ind w:firstLineChars="0"/>
        <w:rPr>
          <w:rFonts w:hint="eastAsia"/>
          <w:sz w:val="32"/>
          <w:szCs w:val="32"/>
        </w:rPr>
      </w:pPr>
      <w:r>
        <w:rPr>
          <w:rFonts w:hint="eastAsia"/>
          <w:sz w:val="32"/>
          <w:szCs w:val="32"/>
        </w:rPr>
        <w:t>使用说明</w:t>
      </w:r>
    </w:p>
    <w:p w:rsidR="00332C2A" w:rsidRDefault="000F5A67">
      <w:pPr>
        <w:pStyle w:val="1"/>
        <w:numPr>
          <w:ilvl w:val="0"/>
          <w:numId w:val="8"/>
        </w:numPr>
        <w:ind w:firstLineChars="0"/>
        <w:rPr>
          <w:sz w:val="28"/>
          <w:szCs w:val="28"/>
        </w:rPr>
      </w:pPr>
      <w:r>
        <w:rPr>
          <w:rFonts w:hint="eastAsia"/>
          <w:sz w:val="28"/>
          <w:szCs w:val="28"/>
        </w:rPr>
        <w:t>导入数据</w:t>
      </w:r>
    </w:p>
    <w:p w:rsidR="00332C2A" w:rsidRDefault="000F5A67">
      <w:pPr>
        <w:spacing w:line="360" w:lineRule="auto"/>
        <w:ind w:firstLineChars="200" w:firstLine="420"/>
        <w:rPr>
          <w:rFonts w:ascii="微软雅黑" w:eastAsia="微软雅黑" w:hAnsi="微软雅黑"/>
        </w:rPr>
      </w:pPr>
      <w:r>
        <w:rPr>
          <w:rFonts w:ascii="微软雅黑" w:eastAsia="微软雅黑" w:hAnsi="微软雅黑" w:hint="eastAsia"/>
        </w:rPr>
        <w:t>用户需要导入新的数据时，可使用导入数据的功能，参照步骤【更新数据】&gt;【下载标准</w:t>
      </w:r>
      <w:r w:rsidR="001265F3">
        <w:rPr>
          <w:rFonts w:ascii="微软雅黑" w:eastAsia="微软雅黑" w:hAnsi="微软雅黑" w:hint="eastAsia"/>
        </w:rPr>
        <w:t>格式</w:t>
      </w:r>
      <w:r>
        <w:rPr>
          <w:rFonts w:ascii="微软雅黑" w:eastAsia="微软雅黑" w:hAnsi="微软雅黑" w:hint="eastAsia"/>
        </w:rPr>
        <w:t>】&gt;</w:t>
      </w:r>
      <w:r w:rsidRPr="00336236">
        <w:rPr>
          <w:rFonts w:ascii="微软雅黑" w:eastAsia="微软雅黑" w:hAnsi="微软雅黑" w:hint="eastAsia"/>
        </w:rPr>
        <w:t>把当前数据按照标准格式编写并保存</w:t>
      </w:r>
      <w:r>
        <w:rPr>
          <w:rFonts w:ascii="微软雅黑" w:eastAsia="微软雅黑" w:hAnsi="微软雅黑" w:hint="eastAsia"/>
        </w:rPr>
        <w:t>&gt;【浏览】&gt;【上传</w:t>
      </w:r>
      <w:r w:rsidR="001265F3">
        <w:rPr>
          <w:rFonts w:ascii="微软雅黑" w:eastAsia="微软雅黑" w:hAnsi="微软雅黑" w:hint="eastAsia"/>
        </w:rPr>
        <w:t>新</w:t>
      </w:r>
      <w:r>
        <w:rPr>
          <w:rFonts w:ascii="微软雅黑" w:eastAsia="微软雅黑" w:hAnsi="微软雅黑" w:hint="eastAsia"/>
        </w:rPr>
        <w:t>数据】。按照表格要求格式导入食品中放射性元素的含量、消费量数据等，若无更新消费量数据，不需要更改消费量表格，可使用系统默认消费量数据（北京市居民消费量数据）。将更改后的表格保存为新的表格，左击【浏览】选择目标文件，选择【上传数据】，完成数据导入。</w:t>
      </w:r>
      <w:r w:rsidR="00664A98">
        <w:rPr>
          <w:rFonts w:ascii="微软雅黑" w:eastAsia="微软雅黑" w:hAnsi="微软雅黑" w:hint="eastAsia"/>
        </w:rPr>
        <w:t>用户按照需求选择放射性核素及人群，根据本次上传的数据进行后续评估。</w:t>
      </w:r>
    </w:p>
    <w:p w:rsidR="00332C2A" w:rsidRDefault="00664A98">
      <w:r>
        <w:rPr>
          <w:noProof/>
        </w:rPr>
        <w:lastRenderedPageBreak/>
        <w:pict>
          <v:rect id="_x0000_s1035" style="position:absolute;left:0;text-align:left;margin-left:286.5pt;margin-top:39pt;width:35.25pt;height:14.25pt;z-index:251665408;mso-width-relative:page;mso-height-relative:page" filled="f" strokecolor="red" strokeweight="1.5pt"/>
        </w:pict>
      </w:r>
      <w:r>
        <w:rPr>
          <w:noProof/>
        </w:rPr>
        <w:pict>
          <v:rect id="_x0000_s1034" style="position:absolute;left:0;text-align:left;margin-left:253.5pt;margin-top:39pt;width:26.25pt;height:14.25pt;z-index:251664384;mso-width-relative:page;mso-height-relative:page" filled="f" strokecolor="red" strokeweight="1.5pt"/>
        </w:pict>
      </w:r>
      <w:r w:rsidR="00AE0F14">
        <w:pict>
          <v:rect id="_x0000_s1031" style="position:absolute;left:0;text-align:left;margin-left:219.75pt;margin-top:39pt;width:26.25pt;height:14.25pt;z-index:251661312;mso-width-relative:page;mso-height-relative:page" filled="f" strokecolor="red" strokeweight="1.5pt"/>
        </w:pict>
      </w:r>
      <w:r>
        <w:rPr>
          <w:noProof/>
        </w:rPr>
        <w:drawing>
          <wp:inline distT="0" distB="0" distL="0" distR="0">
            <wp:extent cx="5274310" cy="2327904"/>
            <wp:effectExtent l="19050" t="0" r="2540" b="0"/>
            <wp:docPr id="2" name="图片 1" descr="C:\Users\ADMINI~1\AppData\Local\Temp\1505269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05269167.png"/>
                    <pic:cNvPicPr>
                      <a:picLocks noChangeAspect="1" noChangeArrowheads="1"/>
                    </pic:cNvPicPr>
                  </pic:nvPicPr>
                  <pic:blipFill>
                    <a:blip r:embed="rId8" cstate="print"/>
                    <a:srcRect/>
                    <a:stretch>
                      <a:fillRect/>
                    </a:stretch>
                  </pic:blipFill>
                  <pic:spPr bwMode="auto">
                    <a:xfrm>
                      <a:off x="0" y="0"/>
                      <a:ext cx="5274310" cy="2327904"/>
                    </a:xfrm>
                    <a:prstGeom prst="rect">
                      <a:avLst/>
                    </a:prstGeom>
                    <a:noFill/>
                    <a:ln w="9525">
                      <a:noFill/>
                      <a:miter lim="800000"/>
                      <a:headEnd/>
                      <a:tailEnd/>
                    </a:ln>
                  </pic:spPr>
                </pic:pic>
              </a:graphicData>
            </a:graphic>
          </wp:inline>
        </w:drawing>
      </w:r>
    </w:p>
    <w:p w:rsidR="00332C2A" w:rsidRDefault="00332C2A"/>
    <w:p w:rsidR="00332C2A" w:rsidRDefault="00A22AEA">
      <w:pPr>
        <w:pStyle w:val="1"/>
        <w:numPr>
          <w:ilvl w:val="0"/>
          <w:numId w:val="8"/>
        </w:numPr>
        <w:ind w:firstLineChars="0"/>
        <w:rPr>
          <w:sz w:val="28"/>
          <w:szCs w:val="28"/>
        </w:rPr>
      </w:pPr>
      <w:r>
        <w:rPr>
          <w:rFonts w:hint="eastAsia"/>
          <w:sz w:val="28"/>
          <w:szCs w:val="28"/>
        </w:rPr>
        <w:t>评估</w:t>
      </w:r>
    </w:p>
    <w:p w:rsidR="00332C2A" w:rsidRDefault="00664A98">
      <w:pPr>
        <w:spacing w:line="360" w:lineRule="auto"/>
        <w:ind w:firstLineChars="200" w:firstLine="420"/>
        <w:rPr>
          <w:rFonts w:ascii="微软雅黑" w:eastAsia="微软雅黑" w:hAnsi="微软雅黑"/>
        </w:rPr>
      </w:pPr>
      <w:r>
        <w:rPr>
          <w:rFonts w:ascii="微软雅黑" w:eastAsia="微软雅黑" w:hAnsi="微软雅黑" w:hint="eastAsia"/>
        </w:rPr>
        <w:t>用户若无更新数据需求，可直接在【评估条件设定】的界面，</w:t>
      </w:r>
      <w:r w:rsidR="000F5A67">
        <w:rPr>
          <w:rFonts w:ascii="微软雅黑" w:eastAsia="微软雅黑" w:hAnsi="微软雅黑" w:hint="eastAsia"/>
        </w:rPr>
        <w:t>按照需求选择放射性核素及人群，参照步骤【</w:t>
      </w:r>
      <w:r w:rsidR="00A22AEA">
        <w:rPr>
          <w:rFonts w:ascii="微软雅黑" w:eastAsia="微软雅黑" w:hAnsi="微软雅黑" w:hint="eastAsia"/>
        </w:rPr>
        <w:t>评估</w:t>
      </w:r>
      <w:r>
        <w:rPr>
          <w:rFonts w:ascii="微软雅黑" w:eastAsia="微软雅黑" w:hAnsi="微软雅黑" w:hint="eastAsia"/>
        </w:rPr>
        <w:t>条件设定</w:t>
      </w:r>
      <w:r w:rsidR="000F5A67">
        <w:rPr>
          <w:rFonts w:ascii="微软雅黑" w:eastAsia="微软雅黑" w:hAnsi="微软雅黑" w:hint="eastAsia"/>
        </w:rPr>
        <w:t>】&gt;【选择放射性核素】&gt;【选择年龄】&gt;【</w:t>
      </w:r>
      <w:r w:rsidR="00A22AEA">
        <w:rPr>
          <w:rFonts w:ascii="微软雅黑" w:eastAsia="微软雅黑" w:hAnsi="微软雅黑" w:hint="eastAsia"/>
        </w:rPr>
        <w:t>评估</w:t>
      </w:r>
      <w:r w:rsidR="000F5A67">
        <w:rPr>
          <w:rFonts w:ascii="微软雅黑" w:eastAsia="微软雅黑" w:hAnsi="微软雅黑" w:hint="eastAsia"/>
        </w:rPr>
        <w:t>】，进行评估。</w:t>
      </w:r>
      <w:r w:rsidR="00D8784E">
        <w:rPr>
          <w:rFonts w:ascii="微软雅黑" w:eastAsia="微软雅黑" w:hAnsi="微软雅黑" w:hint="eastAsia"/>
        </w:rPr>
        <w:t>本软件可评估的放射性核素</w:t>
      </w:r>
      <w:r w:rsidR="00A22AEA">
        <w:rPr>
          <w:rFonts w:ascii="微软雅黑" w:eastAsia="微软雅黑" w:hAnsi="微软雅黑" w:hint="eastAsia"/>
        </w:rPr>
        <w:t>种类与现行国家标准（即GB 14883-1994）</w:t>
      </w:r>
      <w:r w:rsidR="00D8784E">
        <w:rPr>
          <w:rFonts w:ascii="微软雅黑" w:eastAsia="微软雅黑" w:hAnsi="微软雅黑" w:hint="eastAsia"/>
        </w:rPr>
        <w:t>中规定的</w:t>
      </w:r>
      <w:r w:rsidR="00A22AEA">
        <w:rPr>
          <w:rFonts w:ascii="微软雅黑" w:eastAsia="微软雅黑" w:hAnsi="微软雅黑" w:hint="eastAsia"/>
        </w:rPr>
        <w:t>放射性核素种类同步。放射性核素与年龄选择均可多选。</w:t>
      </w:r>
    </w:p>
    <w:p w:rsidR="00332C2A" w:rsidRDefault="00332C2A">
      <w:pPr>
        <w:spacing w:line="360" w:lineRule="auto"/>
        <w:ind w:firstLineChars="200" w:firstLine="420"/>
        <w:rPr>
          <w:rFonts w:ascii="微软雅黑" w:eastAsia="微软雅黑" w:hAnsi="微软雅黑"/>
        </w:rPr>
      </w:pPr>
    </w:p>
    <w:p w:rsidR="00332C2A" w:rsidRDefault="00664A98">
      <w:r>
        <w:rPr>
          <w:noProof/>
        </w:rPr>
        <w:drawing>
          <wp:inline distT="0" distB="0" distL="0" distR="0">
            <wp:extent cx="5274310" cy="2511576"/>
            <wp:effectExtent l="19050" t="0" r="2540" b="0"/>
            <wp:docPr id="3" name="图片 2" descr="C:\Users\ADMINI~1\AppData\Local\Temp\15052693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05269389.png"/>
                    <pic:cNvPicPr>
                      <a:picLocks noChangeAspect="1" noChangeArrowheads="1"/>
                    </pic:cNvPicPr>
                  </pic:nvPicPr>
                  <pic:blipFill>
                    <a:blip r:embed="rId9" cstate="print"/>
                    <a:srcRect/>
                    <a:stretch>
                      <a:fillRect/>
                    </a:stretch>
                  </pic:blipFill>
                  <pic:spPr bwMode="auto">
                    <a:xfrm>
                      <a:off x="0" y="0"/>
                      <a:ext cx="5274310" cy="2511576"/>
                    </a:xfrm>
                    <a:prstGeom prst="rect">
                      <a:avLst/>
                    </a:prstGeom>
                    <a:noFill/>
                    <a:ln w="9525">
                      <a:noFill/>
                      <a:miter lim="800000"/>
                      <a:headEnd/>
                      <a:tailEnd/>
                    </a:ln>
                  </pic:spPr>
                </pic:pic>
              </a:graphicData>
            </a:graphic>
          </wp:inline>
        </w:drawing>
      </w:r>
    </w:p>
    <w:p w:rsidR="00332C2A" w:rsidRDefault="00332C2A"/>
    <w:p w:rsidR="00332C2A" w:rsidRDefault="000F5A67">
      <w:pPr>
        <w:pStyle w:val="1"/>
        <w:numPr>
          <w:ilvl w:val="0"/>
          <w:numId w:val="8"/>
        </w:numPr>
        <w:ind w:firstLineChars="0"/>
        <w:rPr>
          <w:sz w:val="28"/>
          <w:szCs w:val="28"/>
        </w:rPr>
      </w:pPr>
      <w:r>
        <w:rPr>
          <w:sz w:val="28"/>
          <w:szCs w:val="28"/>
        </w:rPr>
        <w:t>下载结果</w:t>
      </w:r>
    </w:p>
    <w:p w:rsidR="00332C2A" w:rsidRDefault="000F5A67">
      <w:pPr>
        <w:spacing w:line="360" w:lineRule="auto"/>
        <w:ind w:firstLineChars="200" w:firstLine="420"/>
        <w:rPr>
          <w:rFonts w:ascii="微软雅黑" w:eastAsia="微软雅黑" w:hAnsi="微软雅黑"/>
        </w:rPr>
      </w:pPr>
      <w:r>
        <w:rPr>
          <w:rFonts w:ascii="微软雅黑" w:eastAsia="微软雅黑" w:hAnsi="微软雅黑" w:hint="eastAsia"/>
        </w:rPr>
        <w:t>用户可以自行选择</w:t>
      </w:r>
      <w:r w:rsidR="00664A98">
        <w:rPr>
          <w:rFonts w:ascii="微软雅黑" w:eastAsia="微软雅黑" w:hAnsi="微软雅黑" w:hint="eastAsia"/>
        </w:rPr>
        <w:t>【</w:t>
      </w:r>
      <w:r>
        <w:rPr>
          <w:rFonts w:ascii="微软雅黑" w:eastAsia="微软雅黑" w:hAnsi="微软雅黑" w:hint="eastAsia"/>
        </w:rPr>
        <w:t>下载</w:t>
      </w:r>
      <w:r w:rsidR="00A22AEA">
        <w:rPr>
          <w:rFonts w:ascii="微软雅黑" w:eastAsia="微软雅黑" w:hAnsi="微软雅黑" w:hint="eastAsia"/>
        </w:rPr>
        <w:t>评估</w:t>
      </w:r>
      <w:r>
        <w:rPr>
          <w:rFonts w:ascii="微软雅黑" w:eastAsia="微软雅黑" w:hAnsi="微软雅黑" w:hint="eastAsia"/>
        </w:rPr>
        <w:t>结果】及</w:t>
      </w:r>
      <w:r w:rsidR="00664A98">
        <w:rPr>
          <w:rFonts w:ascii="微软雅黑" w:eastAsia="微软雅黑" w:hAnsi="微软雅黑" w:hint="eastAsia"/>
        </w:rPr>
        <w:t>图右上方的</w:t>
      </w:r>
      <w:r>
        <w:rPr>
          <w:rFonts w:ascii="微软雅黑" w:eastAsia="微软雅黑" w:hAnsi="微软雅黑" w:hint="eastAsia"/>
        </w:rPr>
        <w:t>【</w:t>
      </w:r>
      <w:r w:rsidRPr="00A22AEA">
        <w:rPr>
          <w:rFonts w:ascii="微软雅黑" w:eastAsia="微软雅黑" w:hAnsi="微软雅黑" w:hint="eastAsia"/>
        </w:rPr>
        <w:t>保存图表</w:t>
      </w:r>
      <w:r>
        <w:rPr>
          <w:rFonts w:ascii="微软雅黑" w:eastAsia="微软雅黑" w:hAnsi="微软雅黑" w:hint="eastAsia"/>
        </w:rPr>
        <w:t>】</w:t>
      </w:r>
      <w:r w:rsidR="00664A98">
        <w:rPr>
          <w:rFonts w:ascii="微软雅黑" w:eastAsia="微软雅黑" w:hAnsi="微软雅黑" w:hint="eastAsia"/>
        </w:rPr>
        <w:t>，进行数据及图表备份</w:t>
      </w:r>
      <w:r>
        <w:rPr>
          <w:rFonts w:ascii="微软雅黑" w:eastAsia="微软雅黑" w:hAnsi="微软雅黑" w:hint="eastAsia"/>
        </w:rPr>
        <w:t>。</w:t>
      </w:r>
    </w:p>
    <w:p w:rsidR="00332C2A" w:rsidRDefault="00664A98">
      <w:r>
        <w:rPr>
          <w:noProof/>
        </w:rPr>
        <w:lastRenderedPageBreak/>
        <w:drawing>
          <wp:inline distT="0" distB="0" distL="0" distR="0">
            <wp:extent cx="5274310" cy="2284642"/>
            <wp:effectExtent l="19050" t="0" r="2540" b="0"/>
            <wp:docPr id="9" name="图片 3" descr="C:\Users\ADMINI~1\AppData\Local\Temp\15052695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505269577(1).png"/>
                    <pic:cNvPicPr>
                      <a:picLocks noChangeAspect="1" noChangeArrowheads="1"/>
                    </pic:cNvPicPr>
                  </pic:nvPicPr>
                  <pic:blipFill>
                    <a:blip r:embed="rId10" cstate="print"/>
                    <a:srcRect/>
                    <a:stretch>
                      <a:fillRect/>
                    </a:stretch>
                  </pic:blipFill>
                  <pic:spPr bwMode="auto">
                    <a:xfrm>
                      <a:off x="0" y="0"/>
                      <a:ext cx="5274310" cy="2284642"/>
                    </a:xfrm>
                    <a:prstGeom prst="rect">
                      <a:avLst/>
                    </a:prstGeom>
                    <a:noFill/>
                    <a:ln w="9525">
                      <a:noFill/>
                      <a:miter lim="800000"/>
                      <a:headEnd/>
                      <a:tailEnd/>
                    </a:ln>
                  </pic:spPr>
                </pic:pic>
              </a:graphicData>
            </a:graphic>
          </wp:inline>
        </w:drawing>
      </w:r>
    </w:p>
    <w:p w:rsidR="00332C2A" w:rsidRDefault="00332C2A"/>
    <w:p w:rsidR="00332C2A" w:rsidRDefault="000F5A67">
      <w:pPr>
        <w:pStyle w:val="1"/>
        <w:numPr>
          <w:ilvl w:val="0"/>
          <w:numId w:val="9"/>
        </w:numPr>
        <w:ind w:firstLineChars="0"/>
        <w:rPr>
          <w:sz w:val="24"/>
          <w:szCs w:val="24"/>
        </w:rPr>
      </w:pPr>
      <w:r>
        <w:rPr>
          <w:rFonts w:hint="eastAsia"/>
          <w:sz w:val="24"/>
          <w:szCs w:val="24"/>
        </w:rPr>
        <w:t>下载结果表格</w:t>
      </w:r>
    </w:p>
    <w:p w:rsidR="00332C2A" w:rsidRDefault="000F5A67">
      <w:pPr>
        <w:spacing w:line="360" w:lineRule="auto"/>
        <w:ind w:firstLineChars="200" w:firstLine="420"/>
        <w:rPr>
          <w:rFonts w:ascii="微软雅黑" w:eastAsia="微软雅黑" w:hAnsi="微软雅黑"/>
        </w:rPr>
      </w:pPr>
      <w:r>
        <w:rPr>
          <w:rFonts w:ascii="微软雅黑" w:eastAsia="微软雅黑" w:hAnsi="微软雅黑" w:hint="eastAsia"/>
        </w:rPr>
        <w:t>下载的结果表格包括5个工作表：实际受照剂量与剂量限值、总受照剂量与剂量限值之比、各食物实际受照有效剂量、不同食物类别的总受照有效剂量、指定核素在指定人群中的有效剂量。用户可按需自行下载。</w:t>
      </w:r>
    </w:p>
    <w:p w:rsidR="00332C2A" w:rsidRDefault="00664A98">
      <w:r>
        <w:rPr>
          <w:noProof/>
        </w:rPr>
        <w:drawing>
          <wp:inline distT="0" distB="0" distL="0" distR="0">
            <wp:extent cx="5274310" cy="2546383"/>
            <wp:effectExtent l="19050" t="0" r="2540" b="0"/>
            <wp:docPr id="10" name="图片 4" descr="C:\Users\ADMINI~1\AppData\Local\Temp\15052697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505269736(1).png"/>
                    <pic:cNvPicPr>
                      <a:picLocks noChangeAspect="1" noChangeArrowheads="1"/>
                    </pic:cNvPicPr>
                  </pic:nvPicPr>
                  <pic:blipFill>
                    <a:blip r:embed="rId11" cstate="print"/>
                    <a:srcRect/>
                    <a:stretch>
                      <a:fillRect/>
                    </a:stretch>
                  </pic:blipFill>
                  <pic:spPr bwMode="auto">
                    <a:xfrm>
                      <a:off x="0" y="0"/>
                      <a:ext cx="5274310" cy="2546383"/>
                    </a:xfrm>
                    <a:prstGeom prst="rect">
                      <a:avLst/>
                    </a:prstGeom>
                    <a:noFill/>
                    <a:ln w="9525">
                      <a:noFill/>
                      <a:miter lim="800000"/>
                      <a:headEnd/>
                      <a:tailEnd/>
                    </a:ln>
                  </pic:spPr>
                </pic:pic>
              </a:graphicData>
            </a:graphic>
          </wp:inline>
        </w:drawing>
      </w:r>
    </w:p>
    <w:p w:rsidR="00332C2A" w:rsidRDefault="00332C2A"/>
    <w:p w:rsidR="00332C2A" w:rsidRDefault="000F5A67">
      <w:pPr>
        <w:pStyle w:val="1"/>
        <w:numPr>
          <w:ilvl w:val="0"/>
          <w:numId w:val="9"/>
        </w:numPr>
        <w:ind w:firstLineChars="0"/>
        <w:rPr>
          <w:sz w:val="24"/>
          <w:szCs w:val="24"/>
        </w:rPr>
      </w:pPr>
      <w:r>
        <w:rPr>
          <w:rFonts w:hint="eastAsia"/>
          <w:sz w:val="24"/>
          <w:szCs w:val="24"/>
        </w:rPr>
        <w:t>下载图表</w:t>
      </w:r>
    </w:p>
    <w:p w:rsidR="00332C2A" w:rsidRDefault="000F5A67">
      <w:pPr>
        <w:spacing w:line="360" w:lineRule="auto"/>
        <w:ind w:firstLineChars="200" w:firstLine="420"/>
        <w:rPr>
          <w:rFonts w:ascii="微软雅黑" w:eastAsia="微软雅黑" w:hAnsi="微软雅黑"/>
        </w:rPr>
      </w:pPr>
      <w:r>
        <w:rPr>
          <w:rFonts w:ascii="微软雅黑" w:eastAsia="微软雅黑" w:hAnsi="微软雅黑" w:hint="eastAsia"/>
        </w:rPr>
        <w:t>用户可下载的图表包括实际受照剂量条形图和实际受照有效剂量条形图。</w:t>
      </w:r>
    </w:p>
    <w:p w:rsidR="00332C2A" w:rsidRDefault="000F5A67">
      <w:pPr>
        <w:spacing w:line="360" w:lineRule="auto"/>
        <w:ind w:firstLineChars="200" w:firstLine="420"/>
        <w:rPr>
          <w:rFonts w:ascii="微软雅黑" w:eastAsia="微软雅黑" w:hAnsi="微软雅黑"/>
        </w:rPr>
      </w:pPr>
      <w:r>
        <w:rPr>
          <w:rFonts w:ascii="微软雅黑" w:eastAsia="微软雅黑" w:hAnsi="微软雅黑" w:hint="eastAsia"/>
        </w:rPr>
        <w:t>如下图所示，蓝色条形图为实际受照剂量条形图（以210Po为例，下同），表示用户导入不同类型食品中放射性核素的含量，红色标线表示GB 14883-1994中规定的不同放射性核素在不同食物类型中的剂量限值。将鼠标置于不同类型食品的条形图上</w:t>
      </w:r>
      <w:bookmarkStart w:id="0" w:name="_GoBack"/>
      <w:r w:rsidRPr="00A22AEA">
        <w:rPr>
          <w:rFonts w:ascii="微软雅黑" w:eastAsia="微软雅黑" w:hAnsi="微软雅黑" w:hint="eastAsia"/>
        </w:rPr>
        <w:t>或</w:t>
      </w:r>
      <w:bookmarkEnd w:id="0"/>
      <w:r w:rsidRPr="00A22AEA">
        <w:rPr>
          <w:rFonts w:ascii="微软雅黑" w:eastAsia="微软雅黑" w:hAnsi="微软雅黑" w:hint="eastAsia"/>
        </w:rPr>
        <w:t>剂量限值红</w:t>
      </w:r>
      <w:r w:rsidR="00A22AEA">
        <w:rPr>
          <w:rFonts w:ascii="微软雅黑" w:eastAsia="微软雅黑" w:hAnsi="微软雅黑" w:hint="eastAsia"/>
        </w:rPr>
        <w:t>线</w:t>
      </w:r>
      <w:r w:rsidRPr="00A22AEA">
        <w:rPr>
          <w:rFonts w:ascii="微软雅黑" w:eastAsia="微软雅黑" w:hAnsi="微软雅黑" w:hint="eastAsia"/>
        </w:rPr>
        <w:t>上</w:t>
      </w:r>
      <w:r w:rsidR="00A22AEA">
        <w:rPr>
          <w:rFonts w:ascii="微软雅黑" w:eastAsia="微软雅黑" w:hAnsi="微软雅黑" w:hint="eastAsia"/>
        </w:rPr>
        <w:t>是会显示具体的数值</w:t>
      </w:r>
      <w:r>
        <w:rPr>
          <w:rFonts w:ascii="微软雅黑" w:eastAsia="微软雅黑" w:hAnsi="微软雅黑" w:hint="eastAsia"/>
        </w:rPr>
        <w:t>。</w:t>
      </w:r>
    </w:p>
    <w:p w:rsidR="00332C2A" w:rsidRDefault="000F5A67">
      <w:r>
        <w:rPr>
          <w:noProof/>
        </w:rPr>
        <w:lastRenderedPageBreak/>
        <w:drawing>
          <wp:inline distT="0" distB="0" distL="114300" distR="114300">
            <wp:extent cx="5272405" cy="3514725"/>
            <wp:effectExtent l="0" t="0" r="10795" b="317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2" cstate="print"/>
                    <a:stretch>
                      <a:fillRect/>
                    </a:stretch>
                  </pic:blipFill>
                  <pic:spPr>
                    <a:xfrm>
                      <a:off x="0" y="0"/>
                      <a:ext cx="5272405" cy="3514725"/>
                    </a:xfrm>
                    <a:prstGeom prst="rect">
                      <a:avLst/>
                    </a:prstGeom>
                    <a:noFill/>
                    <a:ln w="9525">
                      <a:noFill/>
                    </a:ln>
                  </pic:spPr>
                </pic:pic>
              </a:graphicData>
            </a:graphic>
          </wp:inline>
        </w:drawing>
      </w:r>
    </w:p>
    <w:p w:rsidR="00332C2A" w:rsidRDefault="00332C2A"/>
    <w:p w:rsidR="00332C2A" w:rsidRDefault="000F5A67">
      <w:pPr>
        <w:spacing w:line="360" w:lineRule="auto"/>
        <w:ind w:firstLineChars="200" w:firstLine="420"/>
        <w:rPr>
          <w:rFonts w:ascii="微软雅黑" w:eastAsia="微软雅黑" w:hAnsi="微软雅黑"/>
        </w:rPr>
      </w:pPr>
      <w:r>
        <w:rPr>
          <w:rFonts w:ascii="微软雅黑" w:eastAsia="微软雅黑" w:hAnsi="微软雅黑" w:hint="eastAsia"/>
        </w:rPr>
        <w:t>如下图所示，绿色条形图为实际受照有效剂量条形图，表示不同类型食品在指定人群（以13-17岁的男性为例）体内的有效剂量，将鼠标置于不同类型食品的条形图上是会显示具体的有效剂量数值。</w:t>
      </w:r>
    </w:p>
    <w:p w:rsidR="00332C2A" w:rsidRDefault="000F5A67">
      <w:r>
        <w:rPr>
          <w:noProof/>
        </w:rPr>
        <w:drawing>
          <wp:inline distT="0" distB="0" distL="0" distR="0">
            <wp:extent cx="5124450" cy="3340735"/>
            <wp:effectExtent l="19050" t="0" r="0" b="0"/>
            <wp:docPr id="7" name="图片 2" descr="C:\Users\ADMINI~1\AppData\Local\Temp\WeChat Files\5c05a77fd0cc1e2e5deb7779bead1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C:\Users\ADMINI~1\AppData\Local\Temp\WeChat Files\5c05a77fd0cc1e2e5deb7779bead1eb.png"/>
                    <pic:cNvPicPr>
                      <a:picLocks noChangeAspect="1" noChangeArrowheads="1"/>
                    </pic:cNvPicPr>
                  </pic:nvPicPr>
                  <pic:blipFill>
                    <a:blip r:embed="rId13" cstate="print"/>
                    <a:srcRect/>
                    <a:stretch>
                      <a:fillRect/>
                    </a:stretch>
                  </pic:blipFill>
                  <pic:spPr>
                    <a:xfrm>
                      <a:off x="0" y="0"/>
                      <a:ext cx="5129532" cy="3344165"/>
                    </a:xfrm>
                    <a:prstGeom prst="rect">
                      <a:avLst/>
                    </a:prstGeom>
                    <a:noFill/>
                    <a:ln w="9525">
                      <a:noFill/>
                      <a:miter lim="800000"/>
                      <a:headEnd/>
                      <a:tailEnd/>
                    </a:ln>
                  </pic:spPr>
                </pic:pic>
              </a:graphicData>
            </a:graphic>
          </wp:inline>
        </w:drawing>
      </w:r>
    </w:p>
    <w:p w:rsidR="00332C2A" w:rsidRDefault="00332C2A">
      <w:pPr>
        <w:rPr>
          <w:rFonts w:ascii="黑体" w:eastAsia="黑体" w:hAnsi="黑体"/>
          <w:sz w:val="24"/>
          <w:szCs w:val="24"/>
        </w:rPr>
      </w:pPr>
    </w:p>
    <w:sectPr w:rsidR="00332C2A" w:rsidSect="00332C2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6236" w:rsidRDefault="00336236" w:rsidP="00336236">
      <w:r>
        <w:separator/>
      </w:r>
    </w:p>
  </w:endnote>
  <w:endnote w:type="continuationSeparator" w:id="0">
    <w:p w:rsidR="00336236" w:rsidRDefault="00336236" w:rsidP="003362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6236" w:rsidRDefault="00336236" w:rsidP="00336236">
      <w:r>
        <w:separator/>
      </w:r>
    </w:p>
  </w:footnote>
  <w:footnote w:type="continuationSeparator" w:id="0">
    <w:p w:rsidR="00336236" w:rsidRDefault="00336236" w:rsidP="003362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0093D"/>
    <w:multiLevelType w:val="multilevel"/>
    <w:tmpl w:val="0C00093D"/>
    <w:lvl w:ilvl="0">
      <w:start w:val="1"/>
      <w:numFmt w:val="decimal"/>
      <w:lvlText w:val="2.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D613C09"/>
    <w:multiLevelType w:val="multilevel"/>
    <w:tmpl w:val="1D613C09"/>
    <w:lvl w:ilvl="0">
      <w:start w:val="1"/>
      <w:numFmt w:val="decimal"/>
      <w:lvlText w:val="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FF368D7"/>
    <w:multiLevelType w:val="multilevel"/>
    <w:tmpl w:val="1FF368D7"/>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7027932"/>
    <w:multiLevelType w:val="multilevel"/>
    <w:tmpl w:val="37027932"/>
    <w:lvl w:ilvl="0">
      <w:start w:val="1"/>
      <w:numFmt w:val="decimal"/>
      <w:lvlText w:val="4.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39EE26EE"/>
    <w:multiLevelType w:val="multilevel"/>
    <w:tmpl w:val="39EE26EE"/>
    <w:lvl w:ilvl="0">
      <w:start w:val="1"/>
      <w:numFmt w:val="lowerRoman"/>
      <w:lvlText w:val="%1."/>
      <w:lvlJc w:val="righ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49C30F95"/>
    <w:multiLevelType w:val="multilevel"/>
    <w:tmpl w:val="49C30F95"/>
    <w:lvl w:ilvl="0">
      <w:start w:val="1"/>
      <w:numFmt w:val="decimal"/>
      <w:lvlText w:val="4.%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BAD732C"/>
    <w:multiLevelType w:val="multilevel"/>
    <w:tmpl w:val="4BAD732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60DF1DFC"/>
    <w:multiLevelType w:val="multilevel"/>
    <w:tmpl w:val="60DF1DFC"/>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67E51B64"/>
    <w:multiLevelType w:val="multilevel"/>
    <w:tmpl w:val="67E51B64"/>
    <w:lvl w:ilvl="0">
      <w:start w:val="1"/>
      <w:numFmt w:val="lowerRoman"/>
      <w:lvlText w:val="%1."/>
      <w:lvlJc w:val="righ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6"/>
  </w:num>
  <w:num w:numId="2">
    <w:abstractNumId w:val="2"/>
  </w:num>
  <w:num w:numId="3">
    <w:abstractNumId w:val="7"/>
  </w:num>
  <w:num w:numId="4">
    <w:abstractNumId w:val="0"/>
  </w:num>
  <w:num w:numId="5">
    <w:abstractNumId w:val="4"/>
  </w:num>
  <w:num w:numId="6">
    <w:abstractNumId w:val="8"/>
  </w:num>
  <w:num w:numId="7">
    <w:abstractNumId w:val="1"/>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7"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C0BB6"/>
    <w:rsid w:val="000710EB"/>
    <w:rsid w:val="000C7D76"/>
    <w:rsid w:val="000F5A67"/>
    <w:rsid w:val="001265F3"/>
    <w:rsid w:val="00296D0B"/>
    <w:rsid w:val="002A2DD5"/>
    <w:rsid w:val="00332C2A"/>
    <w:rsid w:val="00336236"/>
    <w:rsid w:val="003578EA"/>
    <w:rsid w:val="003D0E3C"/>
    <w:rsid w:val="003D3C09"/>
    <w:rsid w:val="004C0BB6"/>
    <w:rsid w:val="004E0B2B"/>
    <w:rsid w:val="004F06BE"/>
    <w:rsid w:val="0052015F"/>
    <w:rsid w:val="005A0861"/>
    <w:rsid w:val="00601111"/>
    <w:rsid w:val="00664A98"/>
    <w:rsid w:val="00691900"/>
    <w:rsid w:val="00741014"/>
    <w:rsid w:val="00776448"/>
    <w:rsid w:val="007D3884"/>
    <w:rsid w:val="007D6627"/>
    <w:rsid w:val="008C4710"/>
    <w:rsid w:val="00956CC0"/>
    <w:rsid w:val="00A22AEA"/>
    <w:rsid w:val="00A243C8"/>
    <w:rsid w:val="00A7622C"/>
    <w:rsid w:val="00A9277B"/>
    <w:rsid w:val="00A92981"/>
    <w:rsid w:val="00AC4C29"/>
    <w:rsid w:val="00AE0F14"/>
    <w:rsid w:val="00B81CD7"/>
    <w:rsid w:val="00B863BE"/>
    <w:rsid w:val="00BE036C"/>
    <w:rsid w:val="00C063B5"/>
    <w:rsid w:val="00C1093D"/>
    <w:rsid w:val="00C416C2"/>
    <w:rsid w:val="00C86CBC"/>
    <w:rsid w:val="00D8784E"/>
    <w:rsid w:val="00DB0BCE"/>
    <w:rsid w:val="00E23B3D"/>
    <w:rsid w:val="00E352F8"/>
    <w:rsid w:val="00EB0355"/>
    <w:rsid w:val="00ED2A41"/>
    <w:rsid w:val="00F24E6A"/>
    <w:rsid w:val="00F71D39"/>
    <w:rsid w:val="033C37FB"/>
    <w:rsid w:val="10915A85"/>
    <w:rsid w:val="17CF3881"/>
    <w:rsid w:val="29DF18FA"/>
    <w:rsid w:val="3ECC24C0"/>
    <w:rsid w:val="400179F8"/>
    <w:rsid w:val="409C6F27"/>
    <w:rsid w:val="46F04D2E"/>
    <w:rsid w:val="49D9165F"/>
    <w:rsid w:val="54594F37"/>
    <w:rsid w:val="6A1A095C"/>
    <w:rsid w:val="6D8930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2C2A"/>
    <w:pPr>
      <w:widowControl w:val="0"/>
      <w:jc w:val="both"/>
    </w:pPr>
    <w:rPr>
      <w:kern w:val="2"/>
      <w:sz w:val="21"/>
      <w:szCs w:val="22"/>
    </w:rPr>
  </w:style>
  <w:style w:type="paragraph" w:styleId="3">
    <w:name w:val="heading 3"/>
    <w:basedOn w:val="a"/>
    <w:next w:val="a"/>
    <w:link w:val="3Char"/>
    <w:uiPriority w:val="9"/>
    <w:qFormat/>
    <w:rsid w:val="00332C2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332C2A"/>
    <w:rPr>
      <w:sz w:val="18"/>
      <w:szCs w:val="18"/>
    </w:rPr>
  </w:style>
  <w:style w:type="paragraph" w:styleId="a4">
    <w:name w:val="footer"/>
    <w:basedOn w:val="a"/>
    <w:link w:val="Char0"/>
    <w:uiPriority w:val="99"/>
    <w:unhideWhenUsed/>
    <w:rsid w:val="00332C2A"/>
    <w:pPr>
      <w:tabs>
        <w:tab w:val="center" w:pos="4153"/>
        <w:tab w:val="right" w:pos="8306"/>
      </w:tabs>
      <w:snapToGrid w:val="0"/>
      <w:jc w:val="left"/>
    </w:pPr>
    <w:rPr>
      <w:sz w:val="18"/>
      <w:szCs w:val="18"/>
    </w:rPr>
  </w:style>
  <w:style w:type="paragraph" w:styleId="a5">
    <w:name w:val="header"/>
    <w:basedOn w:val="a"/>
    <w:link w:val="Char1"/>
    <w:uiPriority w:val="99"/>
    <w:unhideWhenUsed/>
    <w:rsid w:val="00332C2A"/>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rsid w:val="00332C2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332C2A"/>
    <w:rPr>
      <w:b/>
      <w:bCs/>
    </w:rPr>
  </w:style>
  <w:style w:type="character" w:styleId="a8">
    <w:name w:val="Hyperlink"/>
    <w:basedOn w:val="a0"/>
    <w:uiPriority w:val="99"/>
    <w:unhideWhenUsed/>
    <w:rsid w:val="00332C2A"/>
    <w:rPr>
      <w:color w:val="0000FF"/>
      <w:u w:val="single"/>
    </w:rPr>
  </w:style>
  <w:style w:type="character" w:customStyle="1" w:styleId="3Char">
    <w:name w:val="标题 3 Char"/>
    <w:basedOn w:val="a0"/>
    <w:link w:val="3"/>
    <w:uiPriority w:val="9"/>
    <w:rsid w:val="00332C2A"/>
    <w:rPr>
      <w:rFonts w:ascii="宋体" w:eastAsia="宋体" w:hAnsi="宋体" w:cs="宋体"/>
      <w:b/>
      <w:bCs/>
      <w:kern w:val="0"/>
      <w:sz w:val="27"/>
      <w:szCs w:val="27"/>
    </w:rPr>
  </w:style>
  <w:style w:type="character" w:customStyle="1" w:styleId="apple-converted-space">
    <w:name w:val="apple-converted-space"/>
    <w:basedOn w:val="a0"/>
    <w:rsid w:val="00332C2A"/>
  </w:style>
  <w:style w:type="paragraph" w:customStyle="1" w:styleId="1">
    <w:name w:val="列出段落1"/>
    <w:basedOn w:val="a"/>
    <w:uiPriority w:val="34"/>
    <w:qFormat/>
    <w:rsid w:val="00332C2A"/>
    <w:pPr>
      <w:ind w:firstLineChars="200" w:firstLine="420"/>
    </w:pPr>
  </w:style>
  <w:style w:type="character" w:customStyle="1" w:styleId="Char1">
    <w:name w:val="页眉 Char"/>
    <w:basedOn w:val="a0"/>
    <w:link w:val="a5"/>
    <w:uiPriority w:val="99"/>
    <w:semiHidden/>
    <w:rsid w:val="00332C2A"/>
    <w:rPr>
      <w:sz w:val="18"/>
      <w:szCs w:val="18"/>
    </w:rPr>
  </w:style>
  <w:style w:type="character" w:customStyle="1" w:styleId="Char0">
    <w:name w:val="页脚 Char"/>
    <w:basedOn w:val="a0"/>
    <w:link w:val="a4"/>
    <w:uiPriority w:val="99"/>
    <w:semiHidden/>
    <w:rsid w:val="00332C2A"/>
    <w:rPr>
      <w:sz w:val="18"/>
      <w:szCs w:val="18"/>
    </w:rPr>
  </w:style>
  <w:style w:type="character" w:customStyle="1" w:styleId="Char">
    <w:name w:val="批注框文本 Char"/>
    <w:basedOn w:val="a0"/>
    <w:link w:val="a3"/>
    <w:uiPriority w:val="99"/>
    <w:semiHidden/>
    <w:rsid w:val="00332C2A"/>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1"/>
    <customShpInfo spid="_x0000_s1027"/>
    <customShpInfo spid="_x0000_s1028"/>
    <customShpInfo spid="_x0000_s1026"/>
    <customShpInfo spid="_x0000_s1033"/>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cp:lastPrinted>2017-08-31T15:27:00Z</cp:lastPrinted>
  <dcterms:created xsi:type="dcterms:W3CDTF">2017-09-05T01:50:00Z</dcterms:created>
  <dcterms:modified xsi:type="dcterms:W3CDTF">2017-09-13T02:29:00Z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