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884B6">
      <w:pPr>
        <w:ind w:firstLine="420" w:firstLineChars="0"/>
        <w:rPr>
          <w:rFonts w:hint="default"/>
          <w:lang w:val="en-US" w:eastAsia="zh-CN"/>
        </w:rPr>
      </w:pPr>
      <w:r>
        <w:rPr>
          <w:rFonts w:hint="eastAsia"/>
        </w:rPr>
        <w:t>数字全息的相位重建误差受到从记录到重建的各个环节的影响</w:t>
      </w:r>
      <w:r>
        <w:rPr>
          <w:rFonts w:hint="eastAsia"/>
          <w:lang w:eastAsia="zh-CN"/>
        </w:rPr>
        <w:t>，</w:t>
      </w:r>
      <w:r>
        <w:rPr>
          <w:rFonts w:hint="eastAsia"/>
          <w:lang w:val="en-US" w:eastAsia="zh-CN"/>
        </w:rPr>
        <w:t>其中主要受到两方面影响：</w:t>
      </w:r>
    </w:p>
    <w:p w14:paraId="442B2AE6">
      <w:pPr>
        <w:numPr>
          <w:numId w:val="0"/>
        </w:numPr>
        <w:ind w:firstLine="420" w:firstLineChars="200"/>
        <w:rPr>
          <w:rFonts w:hint="eastAsia"/>
          <w:lang w:val="en-US" w:eastAsia="zh-CN"/>
        </w:rPr>
      </w:pPr>
      <w:r>
        <w:rPr>
          <w:rFonts w:hint="eastAsia"/>
          <w:lang w:val="en-US" w:eastAsia="zh-CN"/>
        </w:rPr>
        <w:t>1.</w:t>
      </w:r>
      <w:r>
        <w:rPr>
          <w:rFonts w:hint="eastAsia"/>
        </w:rPr>
        <w:t>CCD对数字全息图的离散抽样与量化作用</w:t>
      </w:r>
      <w:r>
        <w:rPr>
          <w:rFonts w:hint="eastAsia"/>
          <w:lang w:val="en-US" w:eastAsia="zh-CN"/>
        </w:rPr>
        <w:t>,导致频谱泄漏；CCD/CMOS传感器的物理尺寸是有限的，这相当于对物光波或全息图施加了一个矩形窗。全息图被像素尺寸rect(x/L) 截断：          https://zhuanlan.zhihu.com/p/337431264</w:t>
      </w:r>
    </w:p>
    <w:p w14:paraId="2A346F99">
      <w:pPr>
        <w:numPr>
          <w:numId w:val="0"/>
        </w:numPr>
        <w:rPr>
          <w:rFonts w:hint="default" w:hAnsi="Cambria Math"/>
          <w:i w:val="0"/>
          <w:sz w:val="21"/>
        </w:rPr>
      </w:pPr>
      <m:oMathPara>
        <m:oMath>
          <m:r>
            <m:rPr/>
            <w:rPr>
              <w:rFonts w:hint="default" w:ascii="Cambria Math" w:hAnsi="Cambria Math"/>
              <w:sz w:val="21"/>
            </w:rPr>
            <m:t>I(x,y)⋅</m:t>
          </m:r>
          <m:r>
            <m:rPr>
              <m:sty m:val="p"/>
            </m:rPr>
            <w:rPr>
              <w:rFonts w:hint="default" w:ascii="Cambria Math" w:hAnsi="Cambria Math"/>
              <w:sz w:val="21"/>
            </w:rPr>
            <m:t>rect</m:t>
          </m:r>
          <m:d>
            <m:dPr>
              <m:ctrlPr>
                <w:rPr>
                  <w:rFonts w:hint="default" w:ascii="Cambria Math" w:hAnsi="Cambria Math"/>
                  <w:i/>
                  <w:sz w:val="21"/>
                </w:rPr>
              </m:ctrlPr>
            </m:dPr>
            <m:e>
              <m:f>
                <m:fPr>
                  <m:ctrlPr>
                    <w:rPr>
                      <w:rFonts w:hint="default" w:ascii="Cambria Math" w:hAnsi="Cambria Math"/>
                      <w:i/>
                      <w:sz w:val="21"/>
                    </w:rPr>
                  </m:ctrlPr>
                </m:fPr>
                <m:num>
                  <m:r>
                    <m:rPr/>
                    <w:rPr>
                      <w:rFonts w:hint="default" w:ascii="Cambria Math" w:hAnsi="Cambria Math"/>
                      <w:sz w:val="21"/>
                    </w:rPr>
                    <m:t>x</m:t>
                  </m:r>
                  <m:ctrlPr>
                    <w:rPr>
                      <w:rFonts w:ascii="Cambria Math" w:hAnsi="Cambria Math"/>
                      <w:sz w:val="21"/>
                    </w:rPr>
                  </m:ctrlPr>
                </m:num>
                <m:den>
                  <m:r>
                    <m:rPr/>
                    <w:rPr>
                      <w:rFonts w:hint="default" w:ascii="Cambria Math" w:hAnsi="Cambria Math"/>
                      <w:sz w:val="21"/>
                    </w:rPr>
                    <m:t>L</m:t>
                  </m:r>
                  <m:ctrlPr>
                    <w:rPr>
                      <w:rFonts w:ascii="Cambria Math" w:hAnsi="Cambria Math"/>
                      <w:sz w:val="21"/>
                    </w:rPr>
                  </m:ctrlPr>
                </m:den>
              </m:f>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y</m:t>
                  </m:r>
                  <m:ctrlPr>
                    <w:rPr>
                      <w:rFonts w:ascii="Cambria Math" w:hAnsi="Cambria Math"/>
                      <w:sz w:val="21"/>
                    </w:rPr>
                  </m:ctrlPr>
                </m:num>
                <m:den>
                  <m:r>
                    <m:rPr/>
                    <w:rPr>
                      <w:rFonts w:hint="default" w:ascii="Cambria Math" w:hAnsi="Cambria Math"/>
                      <w:sz w:val="21"/>
                    </w:rPr>
                    <m:t>L</m:t>
                  </m:r>
                  <m:ctrlPr>
                    <w:rPr>
                      <w:rFonts w:ascii="Cambria Math" w:hAnsi="Cambria Math"/>
                      <w:sz w:val="21"/>
                    </w:rPr>
                  </m:ctrlPr>
                </m:den>
              </m:f>
              <m:ctrlPr>
                <w:rPr>
                  <w:rFonts w:hint="default" w:ascii="Cambria Math" w:hAnsi="Cambria Math"/>
                  <w:i/>
                  <w:sz w:val="21"/>
                </w:rPr>
              </m:ctrlPr>
            </m:e>
          </m:d>
        </m:oMath>
      </m:oMathPara>
    </w:p>
    <w:p w14:paraId="4BFDE678">
      <w:pPr>
        <w:numPr>
          <w:numId w:val="0"/>
        </w:numPr>
        <w:rPr>
          <w:rFonts w:hint="eastAsia" w:ascii="宋体" w:hAnsi="宋体" w:eastAsia="宋体" w:cs="宋体"/>
          <w:sz w:val="24"/>
          <w:szCs w:val="24"/>
          <w:lang w:eastAsia="zh-CN"/>
        </w:rPr>
      </w:pPr>
      <w:r>
        <w:rPr>
          <w:rFonts w:ascii="宋体" w:hAnsi="宋体" w:eastAsia="宋体" w:cs="宋体"/>
          <w:sz w:val="24"/>
          <w:szCs w:val="24"/>
        </w:rPr>
        <w:t>傅里叶变换后</w:t>
      </w:r>
      <w:r>
        <w:rPr>
          <w:rFonts w:hint="eastAsia" w:ascii="宋体" w:hAnsi="宋体" w:eastAsia="宋体" w:cs="宋体"/>
          <w:sz w:val="24"/>
          <w:szCs w:val="24"/>
          <w:lang w:eastAsia="zh-CN"/>
        </w:rPr>
        <w:t>：</w:t>
      </w:r>
    </w:p>
    <w:p w14:paraId="0B4A853A">
      <w:pPr>
        <w:numPr>
          <w:numId w:val="0"/>
        </w:numPr>
        <w:rPr>
          <w:rFonts w:hint="eastAsia" w:ascii="宋体" w:hAnsi="宋体" w:eastAsia="宋体" w:cs="宋体"/>
          <w:sz w:val="24"/>
          <w:szCs w:val="24"/>
          <w:lang w:val="en-US" w:eastAsia="zh-CN"/>
        </w:rPr>
      </w:pPr>
      <m:oMathPara>
        <m:oMath>
          <m:r>
            <m:rPr/>
            <w:rPr>
              <w:rFonts w:hint="default" w:ascii="Cambria Math" w:hAnsi="Cambria Math"/>
              <w:sz w:val="24"/>
            </w:rPr>
            <m:t>H(</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m:sty m:val="p"/>
                </m:rPr>
                <w:rPr>
                  <w:rFonts w:hint="default" w:ascii="Cambria Math" w:hAnsi="Cambria Math"/>
                  <w:sz w:val="24"/>
                </w:rPr>
                <m:t>ideal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sinc</m:t>
          </m:r>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r>
            <m:rPr/>
            <w:rPr>
              <w:rFonts w:hint="default" w:ascii="Cambria Math" w:hAnsi="Cambria Math"/>
              <w:sz w:val="24"/>
            </w:rPr>
            <m:t>)</m:t>
          </m:r>
        </m:oMath>
      </m:oMathPara>
    </w:p>
    <w:p w14:paraId="597815DC">
      <w:pPr>
        <w:keepNext w:val="0"/>
        <w:keepLines w:val="0"/>
        <w:widowControl/>
        <w:suppressLineNumbers w:val="0"/>
        <w:jc w:val="left"/>
        <w:rPr>
          <w:rFonts w:hint="eastAsia"/>
          <w:lang w:eastAsia="zh-CN"/>
        </w:rPr>
      </w:pPr>
      <w:r>
        <w:rPr>
          <w:rFonts w:hint="eastAsia"/>
          <w:lang w:val="en-US" w:eastAsia="zh-CN"/>
        </w:rPr>
        <w:t>，等效到</w:t>
      </w:r>
      <w:r>
        <w:rPr>
          <w:rFonts w:hint="eastAsia"/>
        </w:rPr>
        <w:t>频域与sinc卷积</w:t>
      </w:r>
      <w:r>
        <w:rPr>
          <w:rFonts w:hint="eastAsia"/>
          <w:lang w:eastAsia="zh-CN"/>
        </w:rPr>
        <w:t>，频率恰好位于两个频谱点（</w:t>
      </w:r>
      <w:r>
        <w:rPr>
          <w:rFonts w:hint="eastAsia" w:ascii="宋体" w:hAnsi="宋体" w:eastAsia="宋体" w:cs="宋体"/>
          <w:color w:val="000000"/>
          <w:kern w:val="0"/>
          <w:sz w:val="20"/>
          <w:szCs w:val="20"/>
          <w:lang w:val="en-US" w:eastAsia="zh-CN" w:bidi="ar"/>
        </w:rPr>
        <w:t>零值点</w:t>
      </w:r>
      <w:r>
        <w:rPr>
          <w:rFonts w:hint="eastAsia"/>
          <w:lang w:eastAsia="zh-CN"/>
        </w:rPr>
        <w:t>）之间。</w:t>
      </w:r>
    </w:p>
    <w:p w14:paraId="2257C50E">
      <w:pPr>
        <w:numPr>
          <w:numId w:val="0"/>
        </w:numPr>
        <w:rPr>
          <w:rFonts w:hint="eastAsia"/>
          <w:lang w:val="en-US" w:eastAsia="zh-CN"/>
        </w:rPr>
      </w:pPr>
      <w:r>
        <w:drawing>
          <wp:inline distT="0" distB="0" distL="114300" distR="114300">
            <wp:extent cx="2388870" cy="1800225"/>
            <wp:effectExtent l="0" t="0" r="3810"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388870" cy="1800225"/>
                    </a:xfrm>
                    <a:prstGeom prst="rect">
                      <a:avLst/>
                    </a:prstGeom>
                    <a:noFill/>
                    <a:ln>
                      <a:noFill/>
                    </a:ln>
                  </pic:spPr>
                </pic:pic>
              </a:graphicData>
            </a:graphic>
          </wp:inline>
        </w:drawing>
      </w:r>
      <w:r>
        <w:drawing>
          <wp:inline distT="0" distB="0" distL="114300" distR="114300">
            <wp:extent cx="2239010" cy="1800225"/>
            <wp:effectExtent l="0" t="0" r="127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239010" cy="1800225"/>
                    </a:xfrm>
                    <a:prstGeom prst="rect">
                      <a:avLst/>
                    </a:prstGeom>
                    <a:noFill/>
                    <a:ln>
                      <a:noFill/>
                    </a:ln>
                  </pic:spPr>
                </pic:pic>
              </a:graphicData>
            </a:graphic>
          </wp:inline>
        </w:drawing>
      </w:r>
    </w:p>
    <w:p w14:paraId="63C87CF7">
      <w:pPr>
        <w:rPr>
          <w:rFonts w:hint="eastAsia"/>
          <w:highlight w:val="yellow"/>
          <w:lang w:val="en-US" w:eastAsia="zh-CN"/>
        </w:rPr>
      </w:pPr>
      <w:r>
        <w:rPr>
          <w:rFonts w:hint="eastAsia"/>
          <w:highlight w:val="yellow"/>
          <w:lang w:val="en-US" w:eastAsia="zh-CN"/>
        </w:rPr>
        <w:t>Rect.m代码  验证空域加窗《像面数字全息的重建相位误差分析和改善》文献结果。</w:t>
      </w:r>
    </w:p>
    <w:p w14:paraId="735B8BA1">
      <w:pPr>
        <w:rPr>
          <w:rFonts w:hint="eastAsia"/>
          <w:lang w:val="en-US" w:eastAsia="zh-CN"/>
        </w:rPr>
      </w:pPr>
      <w:r>
        <w:rPr>
          <w:rFonts w:hint="eastAsia"/>
          <w:lang w:val="en-US" w:eastAsia="zh-CN"/>
        </w:rPr>
        <w:t>频谱泄露：</w:t>
      </w:r>
      <w:r>
        <w:rPr>
          <w:rFonts w:hint="eastAsia"/>
          <w:lang w:val="en-US" w:eastAsia="zh-CN"/>
        </w:rPr>
        <w:fldChar w:fldCharType="begin"/>
      </w:r>
      <w:r>
        <w:rPr>
          <w:rFonts w:hint="eastAsia"/>
          <w:lang w:val="en-US" w:eastAsia="zh-CN"/>
        </w:rPr>
        <w:instrText xml:space="preserve"> HYPERLINK "https://en.wikipedia.org/wiki/Spectral_leakage?utm_source=chatgpt.com" </w:instrText>
      </w:r>
      <w:r>
        <w:rPr>
          <w:rFonts w:hint="eastAsia"/>
          <w:lang w:val="en-US" w:eastAsia="zh-CN"/>
        </w:rPr>
        <w:fldChar w:fldCharType="separate"/>
      </w:r>
      <w:r>
        <w:rPr>
          <w:rStyle w:val="4"/>
          <w:rFonts w:hint="eastAsia"/>
          <w:lang w:val="en-US" w:eastAsia="zh-CN"/>
        </w:rPr>
        <w:t>https://en.wikipedia.org/wiki/Spectral_leakage?utm_source=chatgpt.com</w:t>
      </w:r>
      <w:r>
        <w:rPr>
          <w:rFonts w:hint="eastAsia"/>
          <w:lang w:val="en-US" w:eastAsia="zh-CN"/>
        </w:rPr>
        <w:fldChar w:fldCharType="end"/>
      </w:r>
    </w:p>
    <w:p w14:paraId="0047AF76">
      <w:pPr>
        <w:rPr>
          <w:rFonts w:hint="eastAsia"/>
          <w:lang w:val="en-US" w:eastAsia="zh-CN"/>
        </w:rPr>
      </w:pPr>
    </w:p>
    <w:p w14:paraId="751B5E74">
      <w:pPr>
        <w:numPr>
          <w:numId w:val="0"/>
        </w:numPr>
        <w:ind w:firstLine="400" w:firstLineChars="200"/>
        <w:rPr>
          <w:rFonts w:hint="eastAsia"/>
          <w:lang w:val="en-US" w:eastAsia="zh-CN"/>
        </w:rPr>
      </w:pPr>
      <w:r>
        <w:rPr>
          <w:rFonts w:hint="eastAsia" w:ascii="宋体" w:hAnsi="宋体" w:eastAsia="宋体" w:cs="宋体"/>
          <w:color w:val="000000"/>
          <w:kern w:val="0"/>
          <w:sz w:val="20"/>
          <w:szCs w:val="20"/>
          <w:lang w:val="en-US" w:eastAsia="zh-CN" w:bidi="ar"/>
        </w:rPr>
        <w:t>2.频谱滤波</w:t>
      </w:r>
      <w:r>
        <w:rPr>
          <w:rFonts w:hint="eastAsia"/>
          <w:lang w:val="en-US" w:eastAsia="zh-CN"/>
        </w:rPr>
        <w:t>方面的影响，导致Gibbs效应。</w:t>
      </w:r>
    </w:p>
    <w:p w14:paraId="5475B821">
      <w:pPr>
        <w:widowControl w:val="0"/>
        <w:numPr>
          <w:numId w:val="0"/>
        </w:numPr>
        <w:ind w:firstLine="420" w:firstLineChars="0"/>
        <w:jc w:val="both"/>
        <w:rPr>
          <w:rFonts w:hint="default"/>
          <w:lang w:val="en-US" w:eastAsia="zh-CN"/>
        </w:rPr>
      </w:pPr>
      <w:r>
        <w:rPr>
          <w:rFonts w:hint="eastAsia"/>
          <w:lang w:val="en-US" w:eastAsia="zh-CN"/>
        </w:rPr>
        <w:t>Gibbs：</w:t>
      </w:r>
      <w:r>
        <w:rPr>
          <w:rFonts w:hint="eastAsia" w:ascii="微软雅黑" w:hAnsi="微软雅黑" w:eastAsia="微软雅黑" w:cs="微软雅黑"/>
          <w:b/>
          <w:bCs/>
          <w:i w:val="0"/>
          <w:iCs w:val="0"/>
          <w:caps w:val="0"/>
          <w:color w:val="191B1F"/>
          <w:spacing w:val="0"/>
          <w:sz w:val="18"/>
          <w:szCs w:val="18"/>
          <w:shd w:val="clear" w:fill="FFFFFF"/>
          <w:lang w:val="en-US" w:eastAsia="zh-CN"/>
        </w:rPr>
        <w:t>https://en.wikipedia.org/wiki/Gibbs_phenomenon?utm_source=chatgpt.com</w:t>
      </w:r>
    </w:p>
    <w:p w14:paraId="23F72810">
      <w:pPr>
        <w:ind w:firstLine="420" w:firstLineChars="0"/>
        <w:rPr>
          <w:rFonts w:hint="default"/>
          <w:lang w:val="en-US" w:eastAsia="zh-CN"/>
        </w:rPr>
      </w:pPr>
      <w:r>
        <w:rPr>
          <w:rFonts w:hint="eastAsia"/>
          <w:lang w:val="en-US" w:eastAsia="zh-CN"/>
        </w:rPr>
        <w:t>振铃：</w:t>
      </w:r>
      <w:r>
        <w:rPr>
          <w:rFonts w:hint="default"/>
          <w:lang w:val="en-US" w:eastAsia="zh-CN"/>
        </w:rPr>
        <w:t>https://en.wikipedia.org/wiki/Ringing_artifacts?utm_source=chatgpt.com</w:t>
      </w:r>
    </w:p>
    <w:p w14:paraId="69ACDB7E">
      <w:pPr>
        <w:ind w:firstLine="420" w:firstLineChars="0"/>
      </w:pPr>
      <w:r>
        <w:rPr>
          <w:rFonts w:hint="eastAsia"/>
          <w:lang w:val="en-US" w:eastAsia="zh-CN"/>
        </w:rPr>
        <w:t>综述：</w:t>
      </w:r>
      <w:r>
        <w:rPr>
          <w:rFonts w:hint="eastAsia"/>
        </w:rPr>
        <w:t>Noise Suppression Strategies in Computer Holography: Methods and Techniques</w:t>
      </w:r>
    </w:p>
    <w:p w14:paraId="2ABB4E4D">
      <w:pPr>
        <w:rPr>
          <w:rFonts w:hint="eastAsia"/>
          <w:lang w:val="en-US" w:eastAsia="zh-CN"/>
        </w:rPr>
      </w:pPr>
    </w:p>
    <w:p w14:paraId="3AD24BF1">
      <w:pPr>
        <w:rPr>
          <w:rFonts w:hint="eastAsia"/>
          <w:lang w:val="en-US" w:eastAsia="zh-CN"/>
        </w:rPr>
      </w:pPr>
      <w:r>
        <w:rPr>
          <w:rFonts w:hint="eastAsia"/>
          <w:lang w:val="en-US" w:eastAsia="zh-CN"/>
        </w:rPr>
        <w:t>1.1产生原因</w:t>
      </w:r>
    </w:p>
    <w:p w14:paraId="6A54A1EC">
      <w:pPr>
        <w:ind w:firstLine="420" w:firstLineChars="0"/>
        <w:rPr>
          <w:rFonts w:hint="eastAsia"/>
          <w:lang w:val="en-US" w:eastAsia="zh-CN"/>
        </w:rPr>
      </w:pPr>
      <w:r>
        <w:rPr>
          <w:rFonts w:hint="eastAsia"/>
          <w:lang w:val="en-US" w:eastAsia="zh-CN"/>
        </w:rPr>
        <w:t>在数字全息中, 物光和参考光干涉所形成的全息图被CCD离散采样并存于计算机中。</w:t>
      </w:r>
    </w:p>
    <w:p w14:paraId="4B659AF9">
      <w:pPr>
        <w:ind w:firstLine="420" w:firstLineChars="0"/>
        <w:rPr>
          <w:rFonts w:hint="eastAsia" w:ascii="宋体" w:hAnsi="宋体" w:eastAsia="宋体" w:cs="宋体"/>
          <w:sz w:val="24"/>
          <w:szCs w:val="24"/>
          <w:lang w:val="en-US" w:eastAsia="zh-CN"/>
        </w:rPr>
      </w:pPr>
      <w:r>
        <w:rPr>
          <w:rFonts w:hint="eastAsia"/>
          <w:lang w:val="en-US" w:eastAsia="zh-CN"/>
        </w:rPr>
        <w:t>数字全息的重建过程（如角谱法）在数学上等效于一个衍射传播的线性系统。在离轴全息重建中</w:t>
      </w:r>
      <w:r>
        <w:rPr>
          <w:rFonts w:ascii="宋体" w:hAnsi="宋体" w:eastAsia="宋体" w:cs="宋体"/>
          <w:sz w:val="24"/>
          <w:szCs w:val="24"/>
        </w:rPr>
        <w:t>物体复振幅为</w:t>
      </w:r>
      <w:r>
        <w:rPr>
          <w:rFonts w:hint="eastAsia" w:ascii="宋体" w:hAnsi="宋体" w:eastAsia="宋体" w:cs="宋体"/>
          <w:sz w:val="24"/>
          <w:szCs w:val="24"/>
          <w:lang w:val="en-US" w:eastAsia="zh-CN"/>
        </w:rPr>
        <w:t>:</w:t>
      </w:r>
    </w:p>
    <w:p w14:paraId="71483EEE">
      <w:pPr>
        <w:ind w:firstLine="420" w:firstLineChars="0"/>
        <w:jc w:val="right"/>
        <m:rPr/>
        <w:rPr>
          <w:rFonts w:hint="eastAsia" w:hAnsi="Cambria Math"/>
          <w:i w:val="0"/>
          <w:sz w:val="24"/>
          <w:lang w:val="en-US" w:eastAsia="zh-CN"/>
        </w:rPr>
      </w:pPr>
      <m:oMath>
        <m:r>
          <m:rPr/>
          <w:rPr>
            <w:rFonts w:hint="default" w:ascii="Cambria Math" w:hAnsi="Cambria Math"/>
            <w:sz w:val="24"/>
          </w:rPr>
          <m:t>O(x,y)=A(x,y)</m:t>
        </m:r>
        <m:func>
          <m:funcPr>
            <m:ctrlPr>
              <w:rPr>
                <w:rFonts w:hint="default" w:ascii="Cambria Math" w:hAnsi="Cambria Math"/>
                <w:sz w:val="24"/>
              </w:rPr>
            </m:ctrlPr>
          </m:funcPr>
          <m:fName>
            <m:r>
              <m:rPr>
                <m:sty m:val="p"/>
              </m:rPr>
              <w:rPr>
                <w:rFonts w:hint="default" w:ascii="Cambria Math" w:hAnsi="Cambria Math"/>
                <w:sz w:val="24"/>
              </w:rPr>
              <m:t>exp</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i</m:t>
        </m:r>
        <m:r>
          <m:rPr>
            <m:sty m:val="p"/>
          </m:rPr>
          <w:rPr>
            <w:rFonts w:hint="default" w:ascii="Cambria Math" w:hAnsi="Cambria Math"/>
            <w:sz w:val="24"/>
          </w:rPr>
          <m:t>ϕ</m:t>
        </m:r>
        <m:r>
          <m:rPr/>
          <w:rPr>
            <w:rFonts w:hint="default" w:ascii="Cambria Math" w:hAnsi="Cambria Math"/>
            <w:sz w:val="24"/>
          </w:rPr>
          <m:t>(x,y)]</m:t>
        </m:r>
      </m:oMath>
      <w:r>
        <m:rPr/>
        <w:rPr>
          <w:rFonts w:hint="eastAsia" w:hAnsi="Cambria Math"/>
          <w:i w:val="0"/>
          <w:sz w:val="24"/>
          <w:lang w:val="en-US" w:eastAsia="zh-CN"/>
        </w:rPr>
        <w:t xml:space="preserve">   </w:t>
      </w:r>
      <w:r>
        <m:rPr/>
        <w:rPr>
          <w:rFonts w:hint="eastAsia" w:hAnsi="Cambria Math"/>
          <w:i w:val="0"/>
          <w:sz w:val="24"/>
          <w:lang w:val="en-US" w:eastAsia="zh-CN"/>
        </w:rPr>
        <w:tab/>
        <w:t/>
      </w:r>
      <w:r>
        <m:rPr/>
        <w:rPr>
          <w:rFonts w:hint="eastAsia" w:hAnsi="Cambria Math"/>
          <w:i w:val="0"/>
          <w:sz w:val="24"/>
          <w:lang w:val="en-US" w:eastAsia="zh-CN"/>
        </w:rPr>
        <w:tab/>
        <w:t/>
      </w:r>
      <w:r>
        <m:rPr/>
        <w:rPr>
          <w:rFonts w:hint="eastAsia" w:hAnsi="Cambria Math"/>
          <w:i w:val="0"/>
          <w:sz w:val="24"/>
          <w:lang w:val="en-US" w:eastAsia="zh-CN"/>
        </w:rPr>
        <w:tab/>
        <w:t xml:space="preserve">        (1)</w:t>
      </w:r>
    </w:p>
    <w:p w14:paraId="5A98098A">
      <w:pPr>
        <w:ind w:firstLine="420" w:firstLineChars="0"/>
        <w:jc w:val="left"/>
        <w:rPr>
          <w:rFonts w:ascii="宋体" w:hAnsi="宋体" w:eastAsia="宋体" w:cs="宋体"/>
          <w:sz w:val="24"/>
          <w:szCs w:val="24"/>
        </w:rPr>
      </w:pPr>
      <w:r>
        <w:rPr>
          <w:rFonts w:ascii="宋体" w:hAnsi="宋体" w:eastAsia="宋体" w:cs="宋体"/>
          <w:sz w:val="24"/>
          <w:szCs w:val="24"/>
        </w:rPr>
        <w:t>其中ϕ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x,y</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是分段常数型（阶跃）相位函数，例如</w:t>
      </w:r>
      <w:r>
        <w:rPr>
          <w:rFonts w:ascii="宋体" w:hAnsi="宋体" w:eastAsia="宋体" w:cs="宋体"/>
          <w:sz w:val="24"/>
          <w:szCs w:val="24"/>
        </w:rPr>
        <w:t>圆形台阶：</w:t>
      </w:r>
    </w:p>
    <w:p w14:paraId="75FBA9EE">
      <w:pPr>
        <w:ind w:firstLine="420" w:firstLineChars="0"/>
        <w:jc w:val="right"/>
        <w:rPr>
          <w:rFonts w:hint="eastAsia"/>
          <w:lang w:val="en-US" w:eastAsia="zh-CN"/>
        </w:rPr>
      </w:pPr>
      <m:oMath>
        <m:r>
          <m:rPr>
            <m:sty m:val="p"/>
          </m:rPr>
          <w:rPr>
            <w:rFonts w:hint="default" w:ascii="Cambria Math" w:hAnsi="Cambria Math"/>
            <w:sz w:val="24"/>
          </w:rPr>
          <m:t>ϕ</m:t>
        </m:r>
        <m:r>
          <m:rPr/>
          <w:rPr>
            <w:rFonts w:hint="default" w:ascii="Cambria Math" w:hAnsi="Cambria Math"/>
            <w:sz w:val="24"/>
          </w:rPr>
          <m:t>(x,y)=</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sSub>
                    <m:sSubPr>
                      <m:ctrlPr>
                        <w:rPr>
                          <w:rFonts w:hint="default" w:ascii="Cambria Math" w:hAnsi="Cambria Math"/>
                          <w:sz w:val="24"/>
                        </w:rPr>
                      </m:ctrlPr>
                    </m:sSubPr>
                    <m:e>
                      <m:r>
                        <m:rPr>
                          <m:sty m:val="p"/>
                        </m:rPr>
                        <w:rPr>
                          <w:rFonts w:hint="default" w:ascii="Cambria Math" w:hAnsi="Cambria Math"/>
                          <w:sz w:val="24"/>
                        </w:rPr>
                        <m:t>ϕ</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e>
                <m:e>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y</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e>
              </m:mr>
              <m:mr>
                <m:e>
                  <m:r>
                    <m:rPr/>
                    <w:rPr>
                      <w:rFonts w:hint="default" w:ascii="Cambria Math" w:hAnsi="Cambria Math"/>
                      <w:sz w:val="24"/>
                    </w:rPr>
                    <m:t>0,</m:t>
                  </m:r>
                  <m:ctrlPr>
                    <w:rPr>
                      <w:rFonts w:hint="default" w:ascii="Cambria Math" w:hAnsi="Cambria Math"/>
                      <w:sz w:val="24"/>
                    </w:rPr>
                  </m:ctrlPr>
                </m:e>
                <m:e>
                  <m:r>
                    <m:rPr>
                      <m:sty m:val="p"/>
                    </m:rPr>
                    <w:rPr>
                      <w:rFonts w:hint="default" w:ascii="Cambria Math" w:hAnsi="Cambria Math"/>
                      <w:sz w:val="24"/>
                    </w:rPr>
                    <m:t>else</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ab/>
        <w:t/>
      </w:r>
      <w:r>
        <w:rPr>
          <w:rFonts w:hint="eastAsia" w:hAnsi="Cambria Math"/>
          <w:i w:val="0"/>
          <w:sz w:val="24"/>
          <w:lang w:val="en-US" w:eastAsia="zh-CN"/>
        </w:rPr>
        <w:tab/>
        <w:t xml:space="preserve">              (2)</w:t>
      </w:r>
    </w:p>
    <w:p w14:paraId="72CA62A3">
      <w:pPr>
        <w:rPr>
          <w:rFonts w:hint="default"/>
          <w:lang w:val="en-US" w:eastAsia="zh-CN"/>
        </w:rPr>
      </w:pPr>
    </w:p>
    <w:p w14:paraId="7AADCCAF">
      <w:pPr>
        <w:ind w:firstLine="420" w:firstLineChars="0"/>
        <w:rPr>
          <w:rFonts w:hint="eastAsia"/>
          <w:lang w:val="en-US" w:eastAsia="zh-CN"/>
        </w:rPr>
      </w:pPr>
      <w:r>
        <w:rPr>
          <w:rFonts w:hint="eastAsia"/>
          <w:lang w:val="en-US" w:eastAsia="zh-CN"/>
        </w:rPr>
        <w:t>（数值孔径限制）光学系统的有限数值孔径也相当于在频域进行了一个低通滤波（圆形窗），同样会引入振铃。</w:t>
      </w:r>
    </w:p>
    <w:p w14:paraId="2C75A51C">
      <w:pPr>
        <w:ind w:firstLine="420" w:firstLineChars="0"/>
        <w:rPr>
          <w:rFonts w:hint="default"/>
          <w:lang w:val="en-US" w:eastAsia="zh-CN"/>
        </w:rPr>
      </w:pPr>
      <w:r>
        <w:rPr>
          <w:rFonts w:hint="eastAsia"/>
          <w:lang w:val="en-US" w:eastAsia="zh-CN"/>
        </w:rPr>
        <w:t>（离散计算中的截断)即使在算法中，对传递函数或卷积核的有限截断也会引入类似效应.</w:t>
      </w:r>
      <w:r>
        <w:rPr>
          <w:rFonts w:hint="eastAsia"/>
          <w:lang w:val="en-US" w:eastAsia="zh-CN"/>
        </w:rPr>
        <w:tab/>
      </w:r>
      <w:r>
        <w:rPr>
          <w:rFonts w:hint="eastAsia"/>
          <w:lang w:val="en-US" w:eastAsia="zh-CN"/>
        </w:rPr>
        <w:t>这些振铃在重建的振幅和相位图像中表现为围绕物体边缘的虚假振荡条纹，严重干扰对物体真实形貌和相位的测量，尤其在定量相位成像中。</w:t>
      </w:r>
    </w:p>
    <w:p w14:paraId="30B8B975">
      <w:pPr>
        <w:rPr>
          <w:rFonts w:hint="default"/>
          <w:lang w:val="en-US" w:eastAsia="zh-CN"/>
        </w:rPr>
      </w:pPr>
      <w:r>
        <w:rPr>
          <w:rFonts w:hint="eastAsia"/>
          <w:lang w:val="en-US" w:eastAsia="zh-CN"/>
        </w:rPr>
        <w:t>1.2</w:t>
      </w:r>
    </w:p>
    <w:p w14:paraId="739C2702">
      <w:pPr>
        <w:rPr>
          <w:rFonts w:hint="eastAsia"/>
          <w:lang w:val="en-US" w:eastAsia="zh-CN"/>
        </w:rPr>
      </w:pPr>
      <w:r>
        <w:rPr>
          <w:rFonts w:hint="eastAsia"/>
          <w:lang w:val="en-US" w:eastAsia="zh-CN"/>
        </w:rPr>
        <w:t>2时域窗函数</w:t>
      </w:r>
      <w:bookmarkStart w:id="0" w:name="_GoBack"/>
      <w:bookmarkEnd w:id="0"/>
    </w:p>
    <w:p w14:paraId="4081A1F7">
      <w:pPr>
        <w:rPr>
          <w:rFonts w:hint="eastAsia"/>
          <w:lang w:val="en-US" w:eastAsia="zh-CN"/>
        </w:rPr>
      </w:pPr>
      <w:r>
        <w:rPr>
          <w:rFonts w:hint="eastAsia"/>
          <w:lang w:val="en-US" w:eastAsia="zh-CN"/>
        </w:rPr>
        <w:t>2.1常见窗函数介绍</w:t>
      </w:r>
    </w:p>
    <w:p w14:paraId="34DE2674">
      <w:pPr>
        <w:ind w:firstLine="420" w:firstLineChars="0"/>
        <w:rPr>
          <w:rFonts w:hint="eastAsia"/>
          <w:lang w:val="en-US" w:eastAsia="zh-CN"/>
        </w:rPr>
      </w:pPr>
      <w:r>
        <w:rPr>
          <w:rFonts w:hint="eastAsia"/>
          <w:lang w:val="en-US" w:eastAsia="zh-CN"/>
        </w:rPr>
        <w:t>常用的窗函数可以分为矩形窗，汉宁窗和汉明窗等基本窗函数；升余弦窗和凯泽窗等噪声抑制窗函数；线性调制窗和帕泽尼窗等频谱分辨窗函数和斯特列奇兹窗和希尔伯特窗等特殊用途窗函数。典型的窗函数进行介绍</w:t>
      </w:r>
    </w:p>
    <w:p w14:paraId="60184316">
      <w:pPr>
        <w:ind w:firstLine="420" w:firstLineChars="0"/>
        <w:rPr>
          <w:rFonts w:hint="default"/>
          <w:lang w:val="en-US" w:eastAsia="zh-CN"/>
        </w:rPr>
      </w:pPr>
      <w:r>
        <w:rPr>
          <w:rFonts w:hint="eastAsia"/>
          <w:lang w:val="en-US" w:eastAsia="zh-CN"/>
        </w:rPr>
        <w:t>2.1.1 矩形窗函数//三角窗函数//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MRoman10-Regular-Identity-H">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E90B5B"/>
    <w:rsid w:val="0CB97065"/>
    <w:rsid w:val="15051099"/>
    <w:rsid w:val="1C3C502D"/>
    <w:rsid w:val="1EB26FFD"/>
    <w:rsid w:val="252D4AF9"/>
    <w:rsid w:val="39846444"/>
    <w:rsid w:val="3A8334DB"/>
    <w:rsid w:val="5EEC09F8"/>
    <w:rsid w:val="693F1EFB"/>
    <w:rsid w:val="750D1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FollowedHyperlink"/>
    <w:basedOn w:val="3"/>
    <w:uiPriority w:val="0"/>
    <w:rPr>
      <w:color w:val="800080"/>
      <w:u w:val="single"/>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466</Words>
  <Characters>492</Characters>
  <Lines>0</Lines>
  <Paragraphs>0</Paragraphs>
  <TotalTime>20</TotalTime>
  <ScaleCrop>false</ScaleCrop>
  <LinksUpToDate>false</LinksUpToDate>
  <CharactersWithSpaces>494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2026-01-13T09:06:00Z</dcterms:created>
  <dc:creator>Lenovo</dc:creator>
  <cp:lastModifiedBy>王志俊</cp:lastModifiedBy>
  <dcterms:modified xsi:type="dcterms:W3CDTF">2026-01-14T15:07:52Z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eyJoZGlkIjoiMWI0NTQ0YTk5N2M4YzcxMWQ3ZDBlYjk4NTI3YmQxZjAiLCJ1c2VySWQiOiIxNjYwNDQ3MDM1In0=</vt:lpwstr>
  </property>
  <property fmtid="{D5CDD505-2E9C-101B-9397-08002B2CF9AE}" pid="4" name="ICV">
    <vt:lpwstr>9D5F37F560564D23A7130966DDE82BBA_12</vt:lpwstr>
  </property>
</Properties>
</file>