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王喆楷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f25011434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 w:cs="Times New Roman"/>
                <w:b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>
      <w:pPr>
        <w:keepNext/>
        <w:spacing w:before="180" w:after="60" w:line="288" w:lineRule="auto"/>
        <w:ind/>
        <w:pageBreakBefore/>
      </w:pPr>
      <w:r>
        <w:rPr>
          <w:rFonts w:ascii="Times New Roman" w:hAnsi="Times New Roman" w:eastAsia="仿宋" w:cs="Times New Roman"/>
          <w:b/>
          <w:color w:val="000000"/>
          <w:sz w:val="24"/>
        </w:rPr>
        <w:t>1、Apache Maven 项目介绍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 Maven 是 Apache 软件基金会（ASF）的顶级项目，是一套面向 Java 的项目管理与构建自动化工具，以“项目对象模型（POM）+ 插件 + 生命周期”的约定式模型统一管理依赖解析、编译、测试、打包与发布，是 Java 生态中使用最广的构建工具之一。本次扫描对象为官方 3.9.9 源码包（apache-maven-3.9.9-src.zip，2024 年 8 月发布，取自 archive.apache.org），解压后 14 个模块、2099 个文件、约 13 MB，其中 Java 源文件 1025 个；项目以 Apache License 2.0 单一许可发布，根目录携带 LICENSE、NOTICE、DEPENDENCIES 三个声明文件。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选择该项目有三点原因：它是 ASF 的旗舰构建工具，许可证策略在 Apache 社区中有代表性；它自身在 Maven 构建中用 apache-rat-plugin 做发布前审计，以它为被检对象可形成“工具检工具”的交叉验证；源码包既有生产代码，又有大量测试夹具与第三方许可证文本，样本层次丰富。</w:t>
      </w:r>
    </w:p>
    <w:p>
      <w:pPr>
        <w:keepNext/>
        <w:spacing w:before="100" w:after="40" w:line="240" w:lineRule="auto"/>
        <w:jc w:val="center"/>
        <w:ind/>
      </w:pPr>
      <w:r>
        <w:rPr>
          <w:rFonts w:ascii="Times New Roman" w:hAnsi="Times New Roman" w:eastAsia="宋体" w:cs="Times New Roman"/>
          <w:b/>
          <w:color w:val="000000"/>
          <w:sz w:val="19"/>
        </w:rPr>
        <w:t>表1  Apache Maven 3.9.9 源码包基本信息</w:t>
      </w: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  <w:trHeight w:val="312" w:hRule="atLeast"/>
          <w:cantSplit/>
        </w:trPr>
        <w:tc>
          <w:tcPr>
            <w:tcW w:type="dxa" w:w="2381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5896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trHeight w:val="312" w:hRule="atLeast"/>
          <w:cantSplit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项目名称／社区</w:t>
            </w:r>
          </w:p>
        </w:tc>
        <w:tc>
          <w:tcPr>
            <w:tcW w:type="dxa" w:w="5896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 Maven（Apache 软件基金会顶级项目）</w:t>
            </w:r>
          </w:p>
        </w:tc>
      </w:tr>
      <w:tr>
        <w:trPr>
          <w:trHeight w:val="312" w:hRule="atLeast"/>
          <w:cantSplit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许可证</w:t>
            </w:r>
          </w:p>
        </w:tc>
        <w:tc>
          <w:tcPr>
            <w:tcW w:type="dxa" w:w="5896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Apache License 2.0（单一许可）</w:t>
            </w:r>
          </w:p>
        </w:tc>
      </w:tr>
      <w:tr>
        <w:trPr>
          <w:trHeight w:val="312" w:hRule="atLeast"/>
          <w:cantSplit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扫描版本</w:t>
            </w:r>
          </w:p>
        </w:tc>
        <w:tc>
          <w:tcPr>
            <w:tcW w:type="dxa" w:w="5896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3.9.9（2024 年 8 月发布，官方 src.zip 源码包）</w:t>
            </w:r>
          </w:p>
        </w:tc>
      </w:tr>
      <w:tr>
        <w:trPr>
          <w:trHeight w:val="312" w:hRule="atLeast"/>
          <w:cantSplit/>
        </w:trPr>
        <w:tc>
          <w:tcPr>
            <w:tcW w:type="dxa" w:w="238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代码规模</w:t>
            </w:r>
          </w:p>
        </w:tc>
        <w:tc>
          <w:tcPr>
            <w:tcW w:type="dxa" w:w="5896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14 个模块、2099 个文件、约 13 MB，Java 源文件 1025 个</w:t>
            </w:r>
          </w:p>
        </w:tc>
      </w:tr>
      <w:tr>
        <w:trPr>
          <w:trHeight w:val="312" w:hRule="atLeast"/>
          <w:cantSplit/>
        </w:trPr>
        <w:tc>
          <w:tcPr>
            <w:tcW w:type="dxa" w:w="2381"/>
          </w:tcPr>
          <w:p>
            <w:pPr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附带声明文件</w:t>
            </w:r>
          </w:p>
        </w:tc>
        <w:tc>
          <w:tcPr>
            <w:tcW w:type="dxa" w:w="5896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LICENSE、NOTICE、DEPENDENCIES</w:t>
            </w:r>
          </w:p>
        </w:tc>
      </w:tr>
    </w:tbl>
    <w:p>
      <w:pPr>
        <w:keepNext/>
        <w:spacing w:before="180" w:after="6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4"/>
        </w:rPr>
        <w:t>2、许可证合规检测工具的选型与安装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2.1  工具选型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按“项目形态—运行环境—报告粒度”三步筛选：被检对象是 Java 源码包，不涉及固件、容器与已知漏洞，排除 BANG、Tern 等专用工具；本机为 Windows、无服务器部署条件，排除 FOSSology、FOSSLight、SW360 等平台型工具；余下工具中 ScanCode 报告最全但体量大、噪声多，ORT 需联网解析依赖树。最终选用 Apache Creadur RAT 0.18：ASF 官方发布审计工具，判定规则与 Apache 社区发布要求一致，输出文件级清单，最契合“定位到具体文件”的目标；其只查许可证头的局限见 4.5 节。</w:t>
      </w:r>
    </w:p>
    <w:p>
      <w:pPr>
        <w:keepNext/>
        <w:spacing w:before="100" w:after="40" w:line="240" w:lineRule="auto"/>
        <w:jc w:val="center"/>
        <w:ind/>
      </w:pPr>
      <w:r>
        <w:rPr>
          <w:rFonts w:ascii="Times New Roman" w:hAnsi="Times New Roman" w:eastAsia="宋体" w:cs="Times New Roman"/>
          <w:b/>
          <w:color w:val="000000"/>
          <w:sz w:val="19"/>
        </w:rPr>
        <w:t>表2  候选工具对比</w:t>
      </w: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  <w:trHeight w:val="312" w:hRule="atLeast"/>
          <w:cantSplit/>
        </w:trPr>
        <w:tc>
          <w:tcPr>
            <w:tcW w:type="dxa" w:w="1871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工具</w:t>
            </w:r>
          </w:p>
        </w:tc>
        <w:tc>
          <w:tcPr>
            <w:tcW w:type="dxa" w:w="2268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许可证／形态</w:t>
            </w:r>
          </w:p>
        </w:tc>
        <w:tc>
          <w:tcPr>
            <w:tcW w:type="dxa" w:w="2324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优势</w:t>
            </w:r>
          </w:p>
        </w:tc>
        <w:tc>
          <w:tcPr>
            <w:tcW w:type="dxa" w:w="1814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本次未选原因</w:t>
            </w:r>
          </w:p>
        </w:tc>
      </w:tr>
      <w:tr>
        <w:trPr>
          <w:trHeight w:val="312" w:hRule="atLeast"/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Apache RAT 0.18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Apache-2.0；Java 命令行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ASF 官方发布审计，文件级定位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——（选用）</w:t>
            </w:r>
          </w:p>
        </w:tc>
      </w:tr>
      <w:tr>
        <w:trPr>
          <w:trHeight w:val="312" w:hRule="atLeast"/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ScanCode Toolkit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Apache-2.0；Python 命令行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许可证＋版权＋依赖＋SPDX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报告最全但体量大、噪声多</w:t>
            </w:r>
          </w:p>
        </w:tc>
      </w:tr>
      <w:tr>
        <w:trPr>
          <w:trHeight w:val="312" w:hRule="atLeast"/>
          <w:cantSplit/>
        </w:trPr>
        <w:tc>
          <w:tcPr>
            <w:tcW w:type="dxa" w:w="187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ORT</w:t>
            </w:r>
          </w:p>
        </w:tc>
        <w:tc>
          <w:tcPr>
            <w:tcW w:type="dxa" w:w="2268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Apache-2.0；Kotlin 命令行</w:t>
            </w:r>
          </w:p>
        </w:tc>
        <w:tc>
          <w:tcPr>
            <w:tcW w:type="dxa" w:w="232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端到端依赖与源码扫描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需联网解析依赖树，成本高</w:t>
            </w:r>
          </w:p>
        </w:tc>
      </w:tr>
      <w:tr>
        <w:trPr>
          <w:trHeight w:val="312" w:hRule="atLeast"/>
          <w:cantSplit/>
        </w:trPr>
        <w:tc>
          <w:tcPr>
            <w:tcW w:type="dxa" w:w="1871"/>
          </w:tcPr>
          <w:p>
            <w:pPr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FOSSology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GPL-2.0；Web＋数据库</w:t>
            </w:r>
          </w:p>
        </w:tc>
        <w:tc>
          <w:tcPr>
            <w:tcW w:type="dxa" w:w="2324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带工作流与数据库，适合团队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需服务器部署，不经济</w:t>
            </w:r>
          </w:p>
        </w:tc>
      </w:tr>
    </w:tbl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2.2  安装与运行过程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（1）准备 JDK：RAT 0.18 需要 JDK 11 以上，本机未单独安装 JDK 与 Maven，改用它处已装的 DevEco Studio 内置 JetBrains Runtime（java -version 显示 21.0.8）。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（2）下载校验：从 Apache 官方分发站点取得 apache-rat-0.18-bin.tar.gz（6.5 MB，国内直连约 25 KB/s、耗时约 5 分钟），用同名 .sha512 校验，摘要 315b1653…48f4 与官方一致，包未被篡改。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（3）解压即用：包内只有一个 fat-jar 与 LICENSE、NOTICE、RELEASE_NOTES，无需 Maven 构建、无需联网拉取依赖。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（4）执行扫描：java -Dfile.encoding=UTF-8 -jar apache-rat-0.18.jar --output-file rat-full.txt -- apache-maven-3.9.9；另加 --output-style xml 可得到结构化结果。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（5）交叉复核：文本报告用于阅读，XML 报告用脚本解析后核对计数器，两者一致才作为分析依据。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2.3  遇到的问题及解决办法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（1）新旧参数不兼容：多数教程用 -f/-o 指定输出文件、-d 指定目录，而 0.18 中 -f 已改义为 --force（把许可证头写回源文件）、-d 已弃用，正确写法是 --output-file 加 “--” 结束选项。按旧写法执行既不报错也不出报告，很容易被误判为“扫描无问题”。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（2）相对路径不被接受：Git Bash 下传入 ../apache-maven-3.9.9，Java 侧报 Directory '\apache-maven-3.9.9' does not exist，改用绝对路径 D:/…/apache-maven-3.9.9 后正常。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（3）默认阈值导致“失败退出”：0.18 要求 UNAPPROVED 计数落在 [0,0] 区间，只要有文件未通过，扫描结束即抛 RatDocumentAnalysisException 并返回 1，但此时报告已完整写出；若只需报告、不做门禁，应显式放宽为 --counter-max "UNAPPROVED:-1"（分隔符是冒号，写成等号会报 not a valid Counter）。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（4）编码：中文需加 -Dfile.encoding=UTF-8；报告中 Unknown 家族的类别名显示为“?????”，是该内部标记的占位显示，不影响 approval=false 的判定，统计时按 Unknown 归类。</w:t>
      </w:r>
    </w:p>
    <w:p>
      <w:pPr>
        <w:keepNext/>
        <w:spacing w:before="180" w:after="6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4"/>
        </w:rPr>
        <w:t>3、工具输出的检测报告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3.1  总体结果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扫描耗时约 52 秒，共处理 2099 个文件：标准文本 2026、归档 53、二进制 12、声明 8，另有 4 个按默认规则被忽略。识别出 4 种许可证：Apache-2.0 共 1477 个、MIT 1 个、GNU GPL v2.0 1 个、Unknown 547 个；标准文件通过 1478 个、未通过 548 个，计入归档/二进制/声明三类后未通过共 621 个（表3）。</w:t>
      </w:r>
    </w:p>
    <w:p>
      <w:pPr>
        <w:keepNext/>
        <w:spacing w:before="100" w:after="40" w:line="240" w:lineRule="auto"/>
        <w:jc w:val="center"/>
        <w:ind/>
      </w:pPr>
      <w:r>
        <w:rPr>
          <w:rFonts w:ascii="Times New Roman" w:hAnsi="Times New Roman" w:eastAsia="宋体" w:cs="Times New Roman"/>
          <w:b/>
          <w:color w:val="000000"/>
          <w:sz w:val="19"/>
        </w:rPr>
        <w:t>表3  RAT 0.18 计数器摘要</w:t>
      </w: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  <w:trHeight w:val="312" w:hRule="atLeast"/>
          <w:cantSplit/>
        </w:trPr>
        <w:tc>
          <w:tcPr>
            <w:tcW w:type="dxa" w:w="2438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计数器</w:t>
            </w:r>
          </w:p>
        </w:tc>
        <w:tc>
          <w:tcPr>
            <w:tcW w:type="dxa" w:w="1191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4649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>
        <w:trPr>
          <w:trHeight w:val="312" w:hRule="atLeast"/>
          <w:cantSplit/>
        </w:trPr>
        <w:tc>
          <w:tcPr>
            <w:tcW w:type="dxa" w:w="2438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Approved</w:t>
            </w:r>
          </w:p>
        </w:tc>
        <w:tc>
          <w:tcPr>
            <w:tcW w:type="dxa" w:w="1191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1478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通过：Apache-2.0 1477 个、MIT 1 个</w:t>
            </w:r>
          </w:p>
        </w:tc>
      </w:tr>
      <w:tr>
        <w:trPr>
          <w:trHeight w:val="312" w:hRule="atLeast"/>
          <w:cantSplit/>
        </w:trPr>
        <w:tc>
          <w:tcPr>
            <w:tcW w:type="dxa" w:w="2438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Unapproved</w:t>
            </w:r>
          </w:p>
        </w:tc>
        <w:tc>
          <w:tcPr>
            <w:tcW w:type="dxa" w:w="1191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548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标准文件中未通过：Unknown 547 个、GPL-2.0 1 个</w:t>
            </w:r>
          </w:p>
        </w:tc>
      </w:tr>
      <w:tr>
        <w:trPr>
          <w:trHeight w:val="312" w:hRule="atLeast"/>
          <w:cantSplit/>
        </w:trPr>
        <w:tc>
          <w:tcPr>
            <w:tcW w:type="dxa" w:w="2438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Archives／Binaries／Notices</w:t>
            </w:r>
          </w:p>
        </w:tc>
        <w:tc>
          <w:tcPr>
            <w:tcW w:type="dxa" w:w="1191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53／12／8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归档、二进制、声明类文件，均未通过（合计 73 个）</w:t>
            </w:r>
          </w:p>
        </w:tc>
      </w:tr>
      <w:tr>
        <w:trPr>
          <w:trHeight w:val="312" w:hRule="atLeast"/>
          <w:cantSplit/>
        </w:trPr>
        <w:tc>
          <w:tcPr>
            <w:tcW w:type="dxa" w:w="2438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Standards</w:t>
            </w:r>
          </w:p>
        </w:tc>
        <w:tc>
          <w:tcPr>
            <w:tcW w:type="dxa" w:w="1191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2026</w:t>
            </w:r>
          </w:p>
        </w:tc>
        <w:tc>
          <w:tcPr>
            <w:tcW w:type="dxa" w:w="4649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参与判定的标准文本文件总数</w:t>
            </w:r>
          </w:p>
        </w:tc>
      </w:tr>
      <w:tr>
        <w:trPr>
          <w:trHeight w:val="312" w:hRule="atLeast"/>
          <w:cantSplit/>
        </w:trPr>
        <w:tc>
          <w:tcPr>
            <w:tcW w:type="dxa" w:w="2438"/>
          </w:tcPr>
          <w:p>
            <w:pPr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Ignored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649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按默认排除规则跳过的文件</w:t>
            </w:r>
          </w:p>
        </w:tc>
      </w:tr>
    </w:tbl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3.2  报告原文摘录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Summary / Counters  (Apache Creadur RAT 0.18, 2026-10-29T13:39+08:00)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Approved:      1478     Archives:  53     Binaries:  12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Notices:          8     Standards: 2026    Ignored:    4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! Unapproved:     548     Unknown:   547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Licenses detected:  Apache-2.0 1477 | MIT 1 | GPL-2.0 1 | Unknown 547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Files with unapproved licenses (节选)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/apache-maven/src/bin/m2.conf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/apache-maven/src/main/appended-resources/licenses/EPL-1.0.txt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/maven-compat/src/test/remote-repo/.../a/maven-metadata.xml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Detail (节选：全项目唯一一处 GPL-2.0 命中)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>! /apache-maven/src/main/appended-resources/licenses/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unrecognized-javax.annotation-api-1.3.2.txt</w:t>
      </w:r>
    </w:p>
    <w:p>
      <w:pPr>
        <w:keepNext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  S    text/plain   ISO-8859-1</w:t>
      </w:r>
    </w:p>
    <w:p>
      <w:pPr>
        <w:keepNext w:val="0"/>
        <w:spacing w:before="0" w:after="0" w:line="240" w:lineRule="auto"/>
        <w:ind w:left="283"/>
        <w:shd w:val="clear" w:color="auto" w:fill="F2F2F2"/>
      </w:pPr>
      <w:r>
        <w:rPr>
          <w:rFonts w:ascii="Courier New" w:hAnsi="Courier New" w:eastAsia="宋体" w:cs="Courier New"/>
          <w:b w:val="0"/>
          <w:color w:val="000000"/>
          <w:sz w:val="17"/>
        </w:rPr>
        <w:t xml:space="preserve">    GPL  GPL2         GNU General Public License V2.0 (Unapproved)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3.3  未通过文件的结构分布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按模块统计（表4），未通过文件高度集中在测试夹具最多的三个模块；按扩展名统计，xml 629 个中 224 个未通过、pom 147 个中 114 个、jar 121 个全部未通过、sha1/md5 79 个全部未通过、txt 19 个中 17 个、java 1025 个中仅 37 个（未通过率 3.6%）、其余 79 个中 29 个。这一分布本身就暗示：告警的成因不是“代码没写头”，而是“非代码文件被纳入扫描”。</w:t>
      </w:r>
    </w:p>
    <w:p>
      <w:pPr>
        <w:keepNext/>
        <w:spacing w:before="100" w:after="40" w:line="240" w:lineRule="auto"/>
        <w:jc w:val="center"/>
        <w:ind/>
      </w:pPr>
      <w:r>
        <w:rPr>
          <w:rFonts w:ascii="Times New Roman" w:hAnsi="Times New Roman" w:eastAsia="宋体" w:cs="Times New Roman"/>
          <w:b/>
          <w:color w:val="000000"/>
          <w:sz w:val="19"/>
        </w:rPr>
        <w:t>表4  未通过文件按模块分布（以 621 个未通过文件为基数）</w:t>
      </w: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/>
          <w:trHeight w:val="312" w:hRule="atLeast"/>
          <w:cantSplit/>
        </w:trPr>
        <w:tc>
          <w:tcPr>
            <w:tcW w:type="dxa" w:w="2041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794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文件数</w:t>
            </w:r>
          </w:p>
        </w:tc>
        <w:tc>
          <w:tcPr>
            <w:tcW w:type="dxa" w:w="737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未通过</w:t>
            </w:r>
          </w:p>
        </w:tc>
        <w:tc>
          <w:tcPr>
            <w:tcW w:type="dxa" w:w="737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占比</w:t>
            </w:r>
          </w:p>
        </w:tc>
        <w:tc>
          <w:tcPr>
            <w:tcW w:type="dxa" w:w="1814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737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文件数</w:t>
            </w:r>
          </w:p>
        </w:tc>
        <w:tc>
          <w:tcPr>
            <w:tcW w:type="dxa" w:w="737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未通过</w:t>
            </w:r>
          </w:p>
        </w:tc>
        <w:tc>
          <w:tcPr>
            <w:tcW w:type="dxa" w:w="680"/>
            <w:shd w:val="clear" w:color="auto" w:fill="E8EEF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占比</w:t>
            </w:r>
          </w:p>
        </w:tc>
      </w:tr>
      <w:tr>
        <w:trPr>
          <w:trHeight w:val="312" w:hRule="atLeast"/>
          <w:cantSplit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maven-core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1028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338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32.9%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apache-maven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50.0%</w:t>
            </w:r>
          </w:p>
        </w:tc>
      </w:tr>
      <w:tr>
        <w:trPr>
          <w:trHeight w:val="312" w:hRule="atLeast"/>
          <w:cantSplit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maven-compat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371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141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38.0%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根目录文件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50.0%</w:t>
            </w:r>
          </w:p>
        </w:tc>
      </w:tr>
      <w:tr>
        <w:trPr>
          <w:trHeight w:val="312" w:hRule="atLeast"/>
          <w:cantSplit/>
        </w:trPr>
        <w:tc>
          <w:tcPr>
            <w:tcW w:type="dxa" w:w="2041"/>
          </w:tcPr>
          <w:p>
            <w:pPr>
              <w:keepNext/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maven-model-builder</w:t>
            </w:r>
          </w:p>
        </w:tc>
        <w:tc>
          <w:tcPr>
            <w:tcW w:type="dxa" w:w="79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225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0.4%</w:t>
            </w:r>
          </w:p>
        </w:tc>
        <w:tc>
          <w:tcPr>
            <w:tcW w:type="dxa" w:w="1814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maven-model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737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680"/>
          </w:tcPr>
          <w:p>
            <w:pPr>
              <w:keepNext/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6.5%</w:t>
            </w:r>
          </w:p>
        </w:tc>
      </w:tr>
      <w:tr>
        <w:trPr>
          <w:trHeight w:val="312" w:hRule="atLeast"/>
          <w:cantSplit/>
        </w:trPr>
        <w:tc>
          <w:tcPr>
            <w:tcW w:type="dxa" w:w="2041"/>
          </w:tcPr>
          <w:p>
            <w:pPr>
              <w:spacing w:before="20" w:after="20" w:line="240" w:lineRule="auto"/>
              <w:jc w:val="left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maven-embedder</w:t>
            </w:r>
          </w:p>
        </w:tc>
        <w:tc>
          <w:tcPr>
            <w:tcW w:type="dxa" w:w="794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194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108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55.7%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其余 8 个模块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189</w:t>
            </w:r>
          </w:p>
        </w:tc>
        <w:tc>
          <w:tcPr>
            <w:tcW w:type="dxa" w:w="737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680"/>
          </w:tcPr>
          <w:p>
            <w:pPr>
              <w:spacing w:before="20" w:after="20" w:line="240" w:lineRule="auto"/>
              <w:jc w:val="center"/>
              <w:ind/>
            </w:pPr>
            <w:r/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3.7%</w:t>
            </w:r>
          </w:p>
        </w:tc>
      </w:tr>
    </w:tbl>
    <w:p>
      <w:pPr>
        <w:keepNext/>
        <w:spacing w:before="180" w:after="6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4"/>
        </w:rPr>
        <w:t>4、检测报告分析与改进建议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4.1  生产代码的头部覆盖率很高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1025 个 Java 源文件中仅 37 个未通过，头部覆盖率 96.4%。逐一打开核对：33 个位于 src/test 下的示例工程与 error-reporting-projects，是 Maven 用 archetype 生成的最小工程，本就不带 ASF 头；真正属于生产代码的只有 4 个 package-info.java。这说明 Apache 项目对许可证头的工程化管控是有效的——RAT 本身就是它发布流程中的一道卡点，人工复查成本因此被压得很小。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4.2  未通过文件 97.6% 集中在测试资源，属合理例外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548 个未通过标准文件中，535 个位于 src/test 目录：成对出现的测试用 pom/pom.xml 与 jar、maven-metadata.xml、.sha1/.md5 校验和、.snapshot-version 版本号文件。它们是被测试程序读取的“输入数据”，不承载可执行的著作权表达，且常要求与断言逐字节一致，强行加头反而会破坏测试。正确处理方式是配置排除规则而非逐个补头——因此“未通过 548 个”不能直接等同于“548 处违规”。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4.3  需要人工判断的 13 个文件及逐条结论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（1）4 个 package-info.java（maven-model 的 model、merge、io.xpp3 与 maven-resolver-provider 的 internal）：首行是 // CHECKSTYLE_OFF: RegexpHeader，即项目用 Checkstyle 指令显式关闭了头部检查（包说明由 maven.mdo 模型生成），属有意的既定例外，应加入排除清单。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（2）4 个第三方许可证文本（EPL-1.0、EPL-2.0、aopalliance-1.0、javax.annotation-api-1.3.2）：它们本就是准备分发给他人的许可证全文，不可能再套一层 Apache 头。其中 javax.annotation-api 的文本同时含 CDDL 与 GPL-2.0 两段表述，RAT 按文本匹配判定为 GNU GPL v2.0，这是最典型的“许可证文本误报”——工具把许可证的正文当成了代码的许可声明。实际它是 CDDL/GPL 双许可，择 CDDL 即可，与 Apache-2.0 分发并不冲突。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（3）1 个 MIT 命中（MIT-slf4j-api-1.7.36.txt）同理，因 MIT 在 ASF 白名单内被计为通过，与上一条形成对照，反证了“通过/未通过”取决于白名单而非文件性质。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（4）其余 5 个：maven-embedder 示例工程中 archetype 生成的 App.java、打包脚本 m2.conf、站点图片 maven-deps.svg、测试说明 lifecycle-executor.txt 与 plugin-manager.txt，分属示例、配置与资源文件，本无头部惯例，无需处理。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4.4  与项目自带 RAT 配置的交叉验证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Maven 3.9.9 根 pom.xml 中 apache-rat-plugin 的排除清单为 src/test/resources*/**、src/test/projects/**、src/test/remote-repo/**、**/*.svg、.asf.yaml，以及 EPL-1.0.txt、aopalliance、javax.annotation 三个许可证文本。与本次 548 个未通过文件求交集，535 个测试资源、3 个许可证文本、1 个 svg 全部命中。这从两面印证了结论：工具输出可信、不含臆造；但原始输出只是“待裁定清单”，必须叠加项目约定的人工归类，才能得出“是否违规”的结论。</w:t>
      </w:r>
    </w:p>
    <w:p>
      <w:pPr>
        <w:keepNext/>
        <w:spacing w:before="100" w:after="4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1"/>
        </w:rPr>
        <w:t>4.5  工具局限与使用建议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（1）能力边界：只做许可证头审计，不解析依赖、不做代码片段匹配，发现不了“粘贴进来但未声明”的代码，也不覆盖依赖清单。本报告结论仅对源码包内文件的头部声明负责，依赖合规需另用 DEPENDENCIES、SPDX 或 ScanCode/ORT 补充。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（2）白名单决定判定：ASF 认可列表之外的许可证一律判未通过，本例中直接造成 4 处误报；企业场景须用 --licenses-approved 按组织策略调整，否则告警会被噪声淹没。报告是文件级而非组件级（121 个 jar 逐个列出），应通过 --input-exclude 或 .rat-excludes 归并到目录级。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（3）工程化建议：CI 中固定用 --counter-max "UNAPPROVED:-1" 输出报告，再用脚本对“新增未通过文件”做增量卡点，避免存量噪声把门禁长期卡成红灯；同时保留 XML 输出，便于与 SBOM、许可证策略平台对接。</w:t>
      </w:r>
    </w:p>
    <w:p>
      <w:pPr>
        <w:keepNext/>
        <w:spacing w:before="180" w:after="60" w:line="288" w:lineRule="auto"/>
        <w:ind/>
      </w:pPr>
      <w:r>
        <w:rPr>
          <w:rFonts w:ascii="Times New Roman" w:hAnsi="Times New Roman" w:eastAsia="仿宋" w:cs="Times New Roman"/>
          <w:b/>
          <w:color w:val="000000"/>
          <w:sz w:val="24"/>
        </w:rPr>
        <w:t>5、小结</w:t>
      </w:r>
    </w:p>
    <w:p>
      <w:pPr>
        <w:spacing w:before="0" w:after="0" w:line="300" w:lineRule="auto"/>
        <w:ind w:firstLineChars="200" w:firstLine="42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本次以 Apache Maven 3.9.9 为对象、用 Apache RAT 0.18 完成一次完整的许可证头审计：2099 个文件中 1478 个通过、548 个标准文件未通过。逐层拆解后，真需处置的生产代码问题只有 4 个 package-info.java，4 个第三方许可证文本属工具误报，其余 535 个是测试资源。一份“未通过 548 个”的报告经人工归类后收敛为“4 处真实例外 + 4 处误报 + 1 份排除清单”，这说明合规检测的价值不在工具输出本身，而在于把输出翻译成可执行的处置决定。</w:t>
      </w:r>
    </w:p>
    <w:p w14:paraId="38BC7205">
      <w:pPr>
        <w:pageBreakBefore w:val="0"/>
        <w:widowControl/>
        <w:spacing w:before="200"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依帆临水</cp:lastModifiedBy>
  <dcterms:modified xsi:type="dcterms:W3CDTF">2026-10-08T11:26:42Z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