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F15AC">
      <w:pPr>
        <w:numPr>
          <w:ilvl w:val="0"/>
          <w:numId w:val="0"/>
        </w:numPr>
        <w:bidi w:val="0"/>
        <w:ind w:firstLine="560" w:firstLineChars="20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3" w:name="_GoBack"/>
      <w:bookmarkEnd w:id="3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单项解释</w:t>
      </w:r>
    </w:p>
    <w:p w14:paraId="424A868B">
      <w:pPr>
        <w:numPr>
          <w:ilvl w:val="0"/>
          <w:numId w:val="0"/>
        </w:numPr>
        <w:bidi w:val="0"/>
        <w:ind w:firstLine="482" w:firstLineChars="20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三维定量荧光解释油气水标准</w:t>
      </w:r>
    </w:p>
    <w:p w14:paraId="66919B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维定量荧光录井技术通过分析储层样品的三维荧光图谱特征，结合定量参数（如含油浓度、油性指数、激发与发射波长等），实现对油气水层的快速识别与评价。以下是基于当前行业应用及文献总结的主要解释标准：</w:t>
      </w:r>
    </w:p>
    <w:p w14:paraId="2FDA77AF"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一、参数评价标准</w:t>
      </w:r>
    </w:p>
    <w:p w14:paraId="479323B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油性指数（R）</w:t>
      </w:r>
    </w:p>
    <w:p w14:paraId="02BDCB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定义：油性指数是不同波长下荧光强度的比值（如F2/F1或F3/F1），用于表征原油性质。例如，轻质油R值较低，重质油R值较高</w:t>
      </w:r>
      <w:r>
        <w:rPr>
          <w:rFonts w:hint="eastAsia"/>
          <w:vertAlign w:val="superscript"/>
          <w:lang w:val="en-US" w:eastAsia="zh-CN"/>
        </w:rPr>
        <w:t>[4,14]</w:t>
      </w:r>
      <w:r>
        <w:rPr>
          <w:rFonts w:hint="eastAsia"/>
          <w:lang w:val="en-US" w:eastAsia="zh-CN"/>
        </w:rPr>
        <w:t>。</w:t>
      </w:r>
    </w:p>
    <w:p w14:paraId="0282F09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分类标准：</w:t>
      </w:r>
    </w:p>
    <w:p w14:paraId="4352380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轻质油：R ≤ 1.5（如激发波长310-330 nm，发射波长350-380 nm）</w:t>
      </w:r>
      <w:r>
        <w:rPr>
          <w:rFonts w:hint="eastAsia"/>
          <w:vertAlign w:val="superscript"/>
          <w:lang w:val="en-US" w:eastAsia="zh-CN"/>
        </w:rPr>
        <w:t>[4,10]</w:t>
      </w:r>
      <w:r>
        <w:rPr>
          <w:rFonts w:hint="eastAsia"/>
          <w:lang w:val="en-US" w:eastAsia="zh-CN"/>
        </w:rPr>
        <w:t>。</w:t>
      </w:r>
    </w:p>
    <w:p w14:paraId="65DA6DC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中质油：1.5 &lt; R ≤ 3.6（如激发波长330-380 nm，发射波长370-430 nm）[4,14]。</w:t>
      </w:r>
    </w:p>
    <w:p w14:paraId="24191CC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重质油：R &gt; 3.6（如激发波长380-420 nm，发射波长390-460 nm）[4,10]。</w:t>
      </w:r>
    </w:p>
    <w:p w14:paraId="0AACBAC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含油浓度（C）</w:t>
      </w:r>
    </w:p>
    <w:p w14:paraId="3166E9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计算：通过标定曲线将荧光强度转换为等效油含量（mg/L），反映储层含油丰度8。</w:t>
      </w:r>
    </w:p>
    <w:p w14:paraId="4B6B53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分层标准（以中质油为例）：</w:t>
      </w:r>
    </w:p>
    <w:p w14:paraId="79424E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油层：C ≥ 39 mg/L；</w:t>
      </w:r>
    </w:p>
    <w:p w14:paraId="456B16B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油水同层：16.4 ≤ C &lt; 39 mg/L；</w:t>
      </w:r>
    </w:p>
    <w:p w14:paraId="3045718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水层/干层：C &lt; 16.4 mg/L4。</w:t>
      </w:r>
    </w:p>
    <w:p w14:paraId="4234C39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荧光对比级别（N）</w:t>
      </w:r>
    </w:p>
    <w:p w14:paraId="0FF595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根据荧光强度划分级别（如1-10级），级别越高表明含油性越好。例如，油层通常要求N≥6.5（轻质油）或N≥7（中质油）</w:t>
      </w:r>
      <w:r>
        <w:rPr>
          <w:rFonts w:hint="eastAsia"/>
          <w:vertAlign w:val="superscript"/>
          <w:lang w:val="en-US" w:eastAsia="zh-CN"/>
        </w:rPr>
        <w:t>[4,14]</w:t>
      </w:r>
      <w:r>
        <w:rPr>
          <w:rFonts w:hint="eastAsia"/>
          <w:lang w:val="en-US" w:eastAsia="zh-CN"/>
        </w:rPr>
        <w:t>。</w:t>
      </w:r>
    </w:p>
    <w:p w14:paraId="5B3EA7E7"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二、图谱特征标准</w:t>
      </w:r>
    </w:p>
    <w:p w14:paraId="21C26FDA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激发与发射波长范围</w:t>
      </w:r>
    </w:p>
    <w:p w14:paraId="7C8DF7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油层：</w:t>
      </w:r>
    </w:p>
    <w:p w14:paraId="5E0B181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轻质油：主峰激发波长310-330 nm，发射波长350-380 nm；</w:t>
      </w:r>
    </w:p>
    <w:p w14:paraId="405784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中质油：激发波长330-380 nm，发射波长370-430 nm；</w:t>
      </w:r>
    </w:p>
    <w:p w14:paraId="570F374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重质油：激发波长380-420 nm，发射波长390-460 nm。</w:t>
      </w:r>
    </w:p>
    <w:p w14:paraId="4CA53CD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气层：主峰激发波长270-290 nm，发射波长310-320 nm（如琼东南盆地陵水凹陷气层）。</w:t>
      </w:r>
    </w:p>
    <w:p w14:paraId="6BBEF5D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水层：荧光图谱表现为“水峰”，即对角线分布的系列图形，无典型油峰特征。</w:t>
      </w:r>
    </w:p>
    <w:p w14:paraId="2D469811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谱图对比法</w:t>
      </w:r>
    </w:p>
    <w:p w14:paraId="7079289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通过对比样品谱图与区域标准谱图（如轻质峰、中质峰、气层峰）判断流体类型。例如：油层谱图呈现单峰或双峰，主峰位置与标准油峰匹配；</w:t>
      </w:r>
    </w:p>
    <w:p w14:paraId="600F1CB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水层谱图无显著油峰，或仅显示添加剂干扰峰（如磺化沥青的次峰）。</w:t>
      </w:r>
    </w:p>
    <w:p w14:paraId="7BF5B214"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三、解释流程与图版法</w:t>
      </w:r>
    </w:p>
    <w:p w14:paraId="735DDEE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参数综合图版</w:t>
      </w:r>
    </w:p>
    <w:p w14:paraId="3D027F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利用油性指数（R）与含油浓度（C）构建解释图版。例如：</w:t>
      </w:r>
    </w:p>
    <w:p w14:paraId="10D29F0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油层区：高C值+中低R值（轻质油）或中等R值（中质油）；</w:t>
      </w:r>
    </w:p>
    <w:p w14:paraId="51BF936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水层区：低C值+无规律R值</w:t>
      </w:r>
      <w:r>
        <w:rPr>
          <w:rFonts w:hint="eastAsia"/>
          <w:vertAlign w:val="superscript"/>
          <w:lang w:val="en-US" w:eastAsia="zh-CN"/>
        </w:rPr>
        <w:t>[4,14]</w:t>
      </w:r>
      <w:r>
        <w:rPr>
          <w:rFonts w:hint="eastAsia"/>
          <w:lang w:val="en-US" w:eastAsia="zh-CN"/>
        </w:rPr>
        <w:t>。</w:t>
      </w:r>
    </w:p>
    <w:p w14:paraId="07224DC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动态区域适配</w:t>
      </w:r>
    </w:p>
    <w:p w14:paraId="14B6111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不同构造带需定制标准。例如：</w:t>
      </w:r>
    </w:p>
    <w:p w14:paraId="71E2677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黄珏南构造带阜一段油层主峰激发波长350-370 nm，发射波长410-420 nm；</w:t>
      </w:r>
    </w:p>
    <w:p w14:paraId="78C171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永安构造带戴一段油层激发波长310-330 nm，发射波长350-380 nm410。</w:t>
      </w:r>
    </w:p>
    <w:p w14:paraId="5B019888"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四、干扰排除与质量控制</w:t>
      </w:r>
    </w:p>
    <w:p w14:paraId="165B23AB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钻井液添加剂干扰</w:t>
      </w:r>
    </w:p>
    <w:p w14:paraId="470EA1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通过对比添加剂（如磺化沥青、润滑剂）的荧光图谱特征，扣除背景干扰。例如：</w:t>
      </w:r>
    </w:p>
    <w:p w14:paraId="4B9D734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磺化沥青次峰在330-369 nm，与原油主峰位置差异明显</w:t>
      </w:r>
      <w:r>
        <w:rPr>
          <w:rFonts w:hint="eastAsia"/>
          <w:vertAlign w:val="superscript"/>
          <w:lang w:val="en-US" w:eastAsia="zh-CN"/>
        </w:rPr>
        <w:t>[</w:t>
      </w:r>
      <w:r>
        <w:rPr>
          <w:rFonts w:hint="eastAsia"/>
          <w:lang w:val="en-US" w:eastAsia="zh-CN"/>
        </w:rPr>
        <w:t>。</w:t>
      </w:r>
    </w:p>
    <w:p w14:paraId="250B4E9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标准化操作</w:t>
      </w:r>
    </w:p>
    <w:p w14:paraId="1EE3BF9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标定曲线需定期更新，确保含油浓度计算的准确性；</w:t>
      </w:r>
    </w:p>
    <w:p w14:paraId="6CFBE9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仪器需校准至统一灵敏度，避免不同区块数据偏差。</w:t>
      </w:r>
    </w:p>
    <w:p w14:paraId="57FF9B72"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五、应用实例与效果</w:t>
      </w:r>
    </w:p>
    <w:p w14:paraId="7506D29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气层识别：陵水凹陷气层通过三维定量荧光技术成功识别，主峰波长范围与测试结果吻合，解释符合率达85%以上</w:t>
      </w:r>
      <w:r>
        <w:rPr>
          <w:rFonts w:hint="eastAsia"/>
          <w:vertAlign w:val="superscript"/>
          <w:lang w:val="en-US" w:eastAsia="zh-CN"/>
        </w:rPr>
        <w:t>]</w:t>
      </w:r>
      <w:r>
        <w:rPr>
          <w:rFonts w:hint="eastAsia"/>
          <w:lang w:val="en-US" w:eastAsia="zh-CN"/>
        </w:rPr>
        <w:t>。</w:t>
      </w:r>
    </w:p>
    <w:p w14:paraId="0CCED2A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油质判别：塔河油田通过油性指数（轻质油R=1.0-1.4，重质油R&gt;1.7）快速区分油质类型，指导开发方案制定。</w:t>
      </w:r>
    </w:p>
    <w:p w14:paraId="387067FC">
      <w:pPr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总结</w:t>
      </w:r>
    </w:p>
    <w:p w14:paraId="24F4ADED">
      <w:pPr>
        <w:numPr>
          <w:ilvl w:val="0"/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维定量荧光技术通过多参数融合（R、C、N）与图谱特征分析，结合区域化图版标准，实现了油气水层的精准判别。未来发展方向包括引入深度学习优化图谱分析、提升抗干扰算法，以及建立更细化的气层与页岩油评价标准</w:t>
      </w:r>
      <w:r>
        <w:rPr>
          <w:rFonts w:hint="eastAsia"/>
          <w:vertAlign w:val="superscript"/>
          <w:lang w:val="en-US" w:eastAsia="zh-CN"/>
        </w:rPr>
        <w:t>[4,10,14]</w:t>
      </w:r>
      <w:r>
        <w:rPr>
          <w:rFonts w:hint="eastAsia"/>
          <w:lang w:val="en-US" w:eastAsia="zh-CN"/>
        </w:rPr>
        <w:t>。</w:t>
      </w:r>
    </w:p>
    <w:p w14:paraId="6A7EEBA5">
      <w:pPr>
        <w:numPr>
          <w:ilvl w:val="0"/>
          <w:numId w:val="0"/>
        </w:numPr>
        <w:bidi w:val="0"/>
        <w:ind w:firstLine="482" w:firstLineChars="20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二：地球化学录井解释油气水标准</w:t>
      </w:r>
    </w:p>
    <w:p w14:paraId="3709C0E4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1. 烃类气体组成与比值</w:t>
      </w:r>
    </w:p>
    <w:p w14:paraId="02ED0157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干燥系数（C1/(C2+C3)）</w:t>
      </w:r>
      <w:r>
        <w:rPr>
          <w:rFonts w:hint="default"/>
          <w:lang w:val="en-US" w:eastAsia="zh-CN"/>
        </w:rPr>
        <w:t>：</w:t>
      </w:r>
    </w:p>
    <w:p w14:paraId="1C18DA06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干气层：干燥系数 &gt;100，以甲烷为主，乙烷及以上烃类极少。</w:t>
      </w:r>
    </w:p>
    <w:p w14:paraId="20C2BDE2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湿气/凝析气层：干燥系数20-100，含较高乙烷、丙烷。</w:t>
      </w:r>
    </w:p>
    <w:p w14:paraId="5441B767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油层：干燥系数 &lt;20，C2+烃类比例较高，可能伴生溶解气。</w:t>
      </w:r>
    </w:p>
    <w:p w14:paraId="59ED7778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气体湿度比（C2+/C1）</w:t>
      </w:r>
      <w:r>
        <w:rPr>
          <w:rFonts w:hint="default"/>
          <w:lang w:val="en-US" w:eastAsia="zh-CN"/>
        </w:rPr>
        <w:t>：</w:t>
      </w:r>
    </w:p>
    <w:p w14:paraId="3408CC36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高湿度比（&gt;5%）指示油层，低值可能为气层或干层。</w:t>
      </w:r>
    </w:p>
    <w:p w14:paraId="4A769BD1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2. 岩石热解分析（Rock-Eval）</w:t>
      </w:r>
    </w:p>
    <w:p w14:paraId="525B383B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S1（游离烃含量）</w:t>
      </w:r>
      <w:r>
        <w:rPr>
          <w:rFonts w:hint="default"/>
          <w:lang w:val="en-US" w:eastAsia="zh-CN"/>
        </w:rPr>
        <w:t>：</w:t>
      </w:r>
    </w:p>
    <w:p w14:paraId="0019A4B4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油层：S1 &gt;5 mg/g，反映可动油含量高。</w:t>
      </w:r>
    </w:p>
    <w:p w14:paraId="21C1F267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气层：S1较低，但气体显示活跃。</w:t>
      </w:r>
    </w:p>
    <w:p w14:paraId="25F453EA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S2（热解烃）</w:t>
      </w:r>
      <w:r>
        <w:rPr>
          <w:rFonts w:hint="default"/>
          <w:lang w:val="en-US" w:eastAsia="zh-CN"/>
        </w:rPr>
        <w:t>：高值（&gt;20 mg/g）指示有机质丰度高，可能为烃源岩或含油层。</w:t>
      </w:r>
    </w:p>
    <w:p w14:paraId="1376AFEB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Tmax（热解峰温）：</w:t>
      </w:r>
    </w:p>
    <w:p w14:paraId="23AE09E9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成熟油层：435-450°C。</w:t>
      </w:r>
    </w:p>
    <w:p w14:paraId="1C0D92D3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过成熟气层：&gt;470°C。</w:t>
      </w:r>
    </w:p>
    <w:p w14:paraId="35A8610D">
      <w:pPr>
        <w:numPr>
          <w:ilvl w:val="0"/>
          <w:numId w:val="0"/>
        </w:numPr>
        <w:bidi w:val="0"/>
        <w:ind w:left="420" w:leftChars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3. 碳同位素分析（δ¹³C）</w:t>
      </w:r>
    </w:p>
    <w:p w14:paraId="6D635401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天然气类型</w:t>
      </w:r>
      <w:r>
        <w:rPr>
          <w:rFonts w:hint="default"/>
          <w:lang w:val="en-US" w:eastAsia="zh-CN"/>
        </w:rPr>
        <w:t>：</w:t>
      </w:r>
    </w:p>
    <w:p w14:paraId="5AB7C702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生物气：δ¹³C₁ &lt; -55‰（轻碳同位素）。</w:t>
      </w:r>
    </w:p>
    <w:p w14:paraId="58C603AA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热成因气：δ¹³C₁ &gt; -50‰，随成熟度增加而变重。</w:t>
      </w:r>
    </w:p>
    <w:p w14:paraId="771CF40E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油源对比</w:t>
      </w:r>
      <w:r>
        <w:rPr>
          <w:rFonts w:hint="default"/>
          <w:lang w:val="en-US" w:eastAsia="zh-CN"/>
        </w:rPr>
        <w:t>：通过生物标志物（如甾烷、萜烷）判断原油来源及成熟度。</w:t>
      </w:r>
    </w:p>
    <w:p w14:paraId="413F4C86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4. 地层水化学特征</w:t>
      </w:r>
    </w:p>
    <w:p w14:paraId="35C8AC28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矿化度与离子组成</w:t>
      </w:r>
      <w:r>
        <w:rPr>
          <w:rFonts w:hint="default"/>
          <w:lang w:val="en-US" w:eastAsia="zh-CN"/>
        </w:rPr>
        <w:t>：</w:t>
      </w:r>
    </w:p>
    <w:p w14:paraId="308B25C8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高矿化度（Cl⁻ &gt;50,000 mg/L）指示原生地层水。</w:t>
      </w:r>
    </w:p>
    <w:p w14:paraId="35E77EB9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低矿化度可能为钻井液滤液或次生水。</w:t>
      </w:r>
    </w:p>
    <w:p w14:paraId="60AC72E0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钠氯系数（Na+/Cl⁻）：</w:t>
      </w:r>
    </w:p>
    <w:p w14:paraId="50C9203C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接近海水值（0.85-0.95）可能为封闭地层水。</w:t>
      </w:r>
    </w:p>
    <w:p w14:paraId="009FC323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5. 轻烃与气相色谱分析</w:t>
      </w:r>
    </w:p>
    <w:p w14:paraId="47A47225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轻烃指纹（C5-C9）</w:t>
      </w:r>
      <w:r>
        <w:rPr>
          <w:rFonts w:hint="default"/>
          <w:lang w:val="en-US" w:eastAsia="zh-CN"/>
        </w:rPr>
        <w:t>：</w:t>
      </w:r>
    </w:p>
    <w:p w14:paraId="4EF7DD12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油层：富含环烷烃和异构烷烃。</w:t>
      </w:r>
    </w:p>
    <w:p w14:paraId="76C1205F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气层：以正构烷烃为主。</w:t>
      </w:r>
    </w:p>
    <w:p w14:paraId="0570F0BE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C7化合物比值：</w:t>
      </w:r>
      <w:r>
        <w:rPr>
          <w:rFonts w:hint="default"/>
          <w:lang w:val="en-US" w:eastAsia="zh-CN"/>
        </w:rPr>
        <w:t>如甲基环己烷/正庚烷，区分油、气层。</w:t>
      </w:r>
    </w:p>
    <w:p w14:paraId="4D805AE7">
      <w:pPr>
        <w:numPr>
          <w:ilvl w:val="0"/>
          <w:numId w:val="0"/>
        </w:numPr>
        <w:bidi w:val="0"/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油质判别方法：</w:t>
      </w:r>
    </w:p>
    <w:p w14:paraId="3772CDBD">
      <w:pPr>
        <w:spacing w:before="163" w:beforeLines="50"/>
        <w:ind w:firstLine="420" w:firstLineChars="200"/>
      </w:pPr>
      <w:r>
        <w:rPr>
          <w:rFonts w:hint="eastAsia"/>
          <w:lang w:val="en-US" w:eastAsia="zh-CN"/>
        </w:rPr>
        <w:t>大</w:t>
      </w:r>
      <w:r>
        <w:rPr>
          <w:rFonts w:hint="eastAsia"/>
        </w:rPr>
        <w:t>量实验数据表明，在地化录井的色谱技术所能检测的烃类范围内，轻质油主峰碳位置靠前，分布于nC</w:t>
      </w:r>
      <w:r>
        <w:rPr>
          <w:rFonts w:hint="eastAsia"/>
          <w:vertAlign w:val="subscript"/>
        </w:rPr>
        <w:t>21</w:t>
      </w:r>
      <w:r>
        <w:rPr>
          <w:rFonts w:hint="eastAsia"/>
        </w:rPr>
        <w:t>之前，碳数范围介于nC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-nC</w:t>
      </w:r>
      <w:r>
        <w:rPr>
          <w:rFonts w:hint="eastAsia"/>
          <w:vertAlign w:val="subscript"/>
        </w:rPr>
        <w:t>28</w:t>
      </w:r>
      <w:r>
        <w:rPr>
          <w:rFonts w:hint="eastAsia"/>
        </w:rPr>
        <w:t>之间；中质油主峰碳位置分布于中间部位，分布于nC</w:t>
      </w:r>
      <w:r>
        <w:rPr>
          <w:rFonts w:hint="eastAsia"/>
          <w:vertAlign w:val="subscript"/>
        </w:rPr>
        <w:t>21</w:t>
      </w:r>
      <w:r>
        <w:rPr>
          <w:rFonts w:hint="eastAsia"/>
        </w:rPr>
        <w:t>-nC</w:t>
      </w:r>
      <w:r>
        <w:rPr>
          <w:rFonts w:hint="eastAsia"/>
          <w:vertAlign w:val="subscript"/>
        </w:rPr>
        <w:t>27</w:t>
      </w:r>
      <w:r>
        <w:rPr>
          <w:rFonts w:hint="eastAsia"/>
        </w:rPr>
        <w:t>之间，碳数范围介于nC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-nC</w:t>
      </w:r>
      <w:r>
        <w:rPr>
          <w:rFonts w:hint="eastAsia"/>
          <w:vertAlign w:val="subscript"/>
        </w:rPr>
        <w:t>33</w:t>
      </w:r>
      <w:r>
        <w:rPr>
          <w:rFonts w:hint="eastAsia"/>
        </w:rPr>
        <w:t>之间；重质油主峰碳位置靠后，分布于nC</w:t>
      </w:r>
      <w:r>
        <w:rPr>
          <w:rFonts w:hint="eastAsia"/>
          <w:vertAlign w:val="subscript"/>
        </w:rPr>
        <w:t>27</w:t>
      </w:r>
      <w:r>
        <w:rPr>
          <w:rFonts w:hint="eastAsia"/>
        </w:rPr>
        <w:t>以后，碳数范围介于nC</w:t>
      </w:r>
      <w:r>
        <w:rPr>
          <w:rFonts w:hint="eastAsia"/>
          <w:vertAlign w:val="subscript"/>
        </w:rPr>
        <w:t>15</w:t>
      </w:r>
      <w:r>
        <w:rPr>
          <w:rFonts w:hint="eastAsia"/>
        </w:rPr>
        <w:t>-nC</w:t>
      </w:r>
      <w:r>
        <w:rPr>
          <w:rFonts w:hint="eastAsia"/>
          <w:vertAlign w:val="subscript"/>
        </w:rPr>
        <w:t>38</w:t>
      </w:r>
      <w:r>
        <w:rPr>
          <w:rFonts w:hint="eastAsia"/>
        </w:rPr>
        <w:t>之间，且色谱</w:t>
      </w:r>
      <w:r>
        <w:t>基线大幅抬升</w:t>
      </w:r>
      <w:r>
        <w:rPr>
          <w:rFonts w:hint="eastAsia"/>
        </w:rPr>
        <w:t>，无明显正构烷烃组分峰。岩石地化热解参数S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、S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也分别代表着原油中不同碳数的烃类组份含量，S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+S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表示原油中轻质及中质烃类组份含量；S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表示原油中重质烃原油、胶质、沥青质的烃类组份含量。因此，（S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+S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）/S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比值大小可以反映油质的轻重关系。</w:t>
      </w:r>
    </w:p>
    <w:p w14:paraId="15A916C5">
      <w:pPr>
        <w:bidi w:val="0"/>
        <w:rPr>
          <w:rStyle w:val="13"/>
          <w:bCs w:val="0"/>
        </w:rPr>
      </w:pPr>
      <w:r>
        <w:rPr>
          <w:rStyle w:val="13"/>
          <w:rFonts w:hint="eastAsia"/>
          <w:bCs w:val="0"/>
        </w:rPr>
        <w:t>主峰碳数与</w:t>
      </w:r>
      <w:r>
        <w:rPr>
          <w:rStyle w:val="13"/>
          <w:bCs w:val="0"/>
        </w:rPr>
        <w:t>∑C</w:t>
      </w:r>
      <w:r>
        <w:rPr>
          <w:rStyle w:val="13"/>
          <w:bCs w:val="0"/>
          <w:vertAlign w:val="subscript"/>
        </w:rPr>
        <w:t>21-</w:t>
      </w:r>
      <w:r>
        <w:rPr>
          <w:rStyle w:val="13"/>
          <w:bCs w:val="0"/>
        </w:rPr>
        <w:t>/∑C</w:t>
      </w:r>
      <w:r>
        <w:rPr>
          <w:rStyle w:val="13"/>
          <w:bCs w:val="0"/>
          <w:vertAlign w:val="subscript"/>
        </w:rPr>
        <w:t>22+</w:t>
      </w:r>
      <w:r>
        <w:rPr>
          <w:rStyle w:val="13"/>
          <w:rFonts w:hint="eastAsia"/>
          <w:bCs w:val="0"/>
        </w:rPr>
        <w:t>油质判断图版</w:t>
      </w:r>
    </w:p>
    <w:p w14:paraId="1544EC8A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选取色谱主峰碳数和衍生参数</w:t>
      </w:r>
      <w:r>
        <w:rPr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∑C</w:t>
      </w:r>
      <w:r>
        <w:rPr>
          <w:bCs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21</w:t>
      </w:r>
      <w:r>
        <w:rPr>
          <w:bCs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-</w:t>
      </w:r>
      <w:r>
        <w:rPr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/∑C</w:t>
      </w:r>
      <w:r>
        <w:rPr>
          <w:bCs/>
          <w:color w:val="000000" w:themeColor="text1"/>
          <w:szCs w:val="21"/>
          <w:vertAlign w:val="subscript"/>
          <w14:textFill>
            <w14:solidFill>
              <w14:schemeClr w14:val="tx1"/>
            </w14:solidFill>
          </w14:textFill>
        </w:rPr>
        <w:t>22</w:t>
      </w:r>
      <w:r>
        <w:rPr>
          <w:bCs/>
          <w:color w:val="000000" w:themeColor="text1"/>
          <w:szCs w:val="2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如图4.2-9）。图版横坐标为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21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-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/∑C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22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，采用对数刻度，刻度范围在0.05～50之间；纵坐标为主峰碳数，采用线性刻度，刻度范围在0～50之间。统计大量散点分布规律确定油质分界趋势线。重质油大致分布在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21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-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/∑C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22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参数介于0.05～1.1、主峰碳数大于</w:t>
      </w:r>
      <w:r>
        <w:rPr>
          <w:rFonts w:hint="eastAsia"/>
        </w:rPr>
        <w:t>nC</w:t>
      </w:r>
      <w:r>
        <w:rPr>
          <w:rFonts w:hint="eastAsia"/>
          <w:vertAlign w:val="subscript"/>
        </w:rPr>
        <w:t>27</w:t>
      </w:r>
      <w:r>
        <w:rPr>
          <w:rFonts w:hint="eastAsia"/>
        </w:rPr>
        <w:t>以后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；中质油大致分布在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21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-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/∑C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22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参数介于0.2～2.2、主峰碳数介于</w:t>
      </w:r>
      <w:r>
        <w:rPr>
          <w:rFonts w:hint="eastAsia"/>
        </w:rPr>
        <w:t>nC</w:t>
      </w:r>
      <w:r>
        <w:rPr>
          <w:rFonts w:hint="eastAsia"/>
          <w:vertAlign w:val="subscript"/>
        </w:rPr>
        <w:t>21</w:t>
      </w:r>
      <w:r>
        <w:rPr>
          <w:rFonts w:hint="eastAsia"/>
        </w:rPr>
        <w:t>-nC</w:t>
      </w:r>
      <w:r>
        <w:rPr>
          <w:rFonts w:hint="eastAsia"/>
          <w:vertAlign w:val="subscript"/>
        </w:rPr>
        <w:t>27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之间；轻质油大致分布在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21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-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/∑C</w:t>
      </w:r>
      <w:r>
        <w:rPr>
          <w:bCs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22</w:t>
      </w:r>
      <w:r>
        <w:rPr>
          <w:bCs/>
          <w:color w:val="000000" w:themeColor="text1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参数介于1.1～50、主峰碳数小于</w:t>
      </w:r>
      <w:r>
        <w:rPr>
          <w:rFonts w:hint="eastAsia"/>
        </w:rPr>
        <w:t>nC</w:t>
      </w:r>
      <w:r>
        <w:rPr>
          <w:rFonts w:hint="eastAsia"/>
          <w:vertAlign w:val="subscript"/>
        </w:rPr>
        <w:t>21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B156D8D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6. 综合解释标准</w:t>
      </w:r>
    </w:p>
    <w:p w14:paraId="37ABD604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油层：高S1、低干燥系数、C2+丰富，轻烃指纹复杂，地层水矿化度高。</w:t>
      </w:r>
    </w:p>
    <w:p w14:paraId="573B61C3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气层：高干燥系数、低S1/S2，δ¹³C₁偏重，气体湿度比低。</w:t>
      </w:r>
    </w:p>
    <w:p w14:paraId="2087BDF1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水层：烃类含量低，氯离子浓度高，电阻率低，可能见荧光显示但无活跃烃类。</w:t>
      </w:r>
    </w:p>
    <w:p w14:paraId="7929EDE8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注意事项</w:t>
      </w:r>
    </w:p>
    <w:p w14:paraId="519C2D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区域适应性：不同盆地参数阈值可能调整（如干燥系数在页岩气中可能更高）。</w:t>
      </w:r>
    </w:p>
    <w:p w14:paraId="7C892DB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多数据整合：需结合测井（电阻率、孔隙度）、岩心数据及地质背景综合分析。</w:t>
      </w:r>
    </w:p>
    <w:p w14:paraId="77ACA36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污染识别：排除钻井液添加剂对烃类检测的干扰。</w:t>
      </w:r>
    </w:p>
    <w:p w14:paraId="20A9EF4D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通过上述参数的系统分析，地球化学录井可有效区分油气水层，为勘探决策提供关键依据。实际应用中需结合区域地质模型动态调整解释标准</w:t>
      </w:r>
      <w:r>
        <w:rPr>
          <w:rFonts w:hint="eastAsia"/>
          <w:lang w:val="en-US" w:eastAsia="zh-CN"/>
        </w:rPr>
        <w:t>。</w:t>
      </w:r>
    </w:p>
    <w:p w14:paraId="5E74B274">
      <w:pPr>
        <w:numPr>
          <w:ilvl w:val="0"/>
          <w:numId w:val="0"/>
        </w:numPr>
        <w:bidi w:val="0"/>
        <w:ind w:firstLine="480" w:firstLineChars="200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1B03C2D7">
      <w:pPr>
        <w:ind w:firstLine="420" w:firstLineChars="200"/>
      </w:pPr>
      <w:r>
        <w:rPr>
          <w:rFonts w:hint="eastAsia"/>
        </w:rPr>
        <w:t>地化录井技术主要包括岩石热解技术、热蒸发烃气相色谱技术和轻烃技术。</w:t>
      </w:r>
    </w:p>
    <w:p w14:paraId="2DD646C2">
      <w:pPr>
        <w:widowControl/>
        <w:spacing w:line="360" w:lineRule="auto"/>
        <w:ind w:firstLine="480" w:firstLineChars="0"/>
        <w:contextualSpacing/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 xml:space="preserve">2.1 </w:t>
      </w:r>
      <w:r>
        <w:rPr>
          <w:rFonts w:hint="eastAsia"/>
          <w:b/>
          <w:bCs/>
        </w:rPr>
        <w:t>岩石热解技术</w:t>
      </w:r>
    </w:p>
    <w:p w14:paraId="235E20FD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：90</w:t>
      </w:r>
      <w:r>
        <w:rPr>
          <w:rFonts w:hint="eastAsia" w:ascii="宋体" w:hAnsi="宋体" w:eastAsia="宋体" w:cs="宋体"/>
          <w:kern w:val="0"/>
          <w:sz w:val="21"/>
          <w:szCs w:val="21"/>
        </w:rPr>
        <w:t>℃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时检测的单位质量岩石中烃含量（气态烃），mg/g；</w:t>
      </w:r>
    </w:p>
    <w:p w14:paraId="6D244EEB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：300</w:t>
      </w:r>
      <w:r>
        <w:rPr>
          <w:rFonts w:hint="eastAsia" w:ascii="宋体" w:hAnsi="宋体" w:eastAsia="宋体" w:cs="宋体"/>
          <w:kern w:val="0"/>
          <w:sz w:val="21"/>
          <w:szCs w:val="21"/>
        </w:rPr>
        <w:t>℃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时检测的单位质量岩石中烃含量（液态烃），mg/g；</w:t>
      </w:r>
    </w:p>
    <w:p w14:paraId="24F47260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S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：300</w:t>
      </w:r>
      <w:r>
        <w:rPr>
          <w:rFonts w:hint="eastAsia" w:ascii="宋体" w:hAnsi="宋体" w:eastAsia="宋体" w:cs="宋体"/>
          <w:kern w:val="0"/>
          <w:sz w:val="21"/>
          <w:szCs w:val="21"/>
        </w:rPr>
        <w:t>℃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～600</w:t>
      </w:r>
      <w:r>
        <w:rPr>
          <w:rFonts w:hint="eastAsia" w:ascii="宋体" w:hAnsi="宋体" w:eastAsia="宋体" w:cs="宋体"/>
          <w:kern w:val="0"/>
          <w:sz w:val="21"/>
          <w:szCs w:val="21"/>
        </w:rPr>
        <w:t>℃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检测的单位质量岩石中烃含量，mg/g；</w:t>
      </w:r>
    </w:p>
    <w:p w14:paraId="50D4A105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Tmax：S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的峰顶温度，</w:t>
      </w:r>
      <w:r>
        <w:rPr>
          <w:rFonts w:hint="eastAsia" w:ascii="宋体" w:hAnsi="宋体" w:eastAsia="宋体" w:cs="宋体"/>
          <w:kern w:val="0"/>
          <w:sz w:val="21"/>
          <w:szCs w:val="21"/>
        </w:rPr>
        <w:t>℃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。</w:t>
      </w:r>
    </w:p>
    <w:p w14:paraId="083215FC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残余碳RC：RC=12CO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/44+12CO/28，或RC=S</w:t>
      </w:r>
      <w:r>
        <w:rPr>
          <w:rFonts w:ascii="Times New Roman" w:hAnsi="Times New Roman" w:eastAsia="宋体" w:cs="Times New Roman"/>
          <w:kern w:val="0"/>
          <w:sz w:val="21"/>
          <w:szCs w:val="21"/>
          <w:vertAlign w:val="subscript"/>
        </w:rPr>
        <w:t>4</w:t>
      </w:r>
      <w:r>
        <w:rPr>
          <w:rFonts w:ascii="Times New Roman" w:hAnsi="Times New Roman" w:eastAsia="宋体" w:cs="Times New Roman"/>
          <w:kern w:val="0"/>
          <w:sz w:val="21"/>
          <w:szCs w:val="21"/>
        </w:rPr>
        <w:t>/10，表示单位质量岩石热解后残余有机碳占岩石质量的百分数。</w:t>
      </w:r>
    </w:p>
    <w:p w14:paraId="04821DDF">
      <w:pPr>
        <w:widowControl/>
        <w:spacing w:line="360" w:lineRule="auto"/>
        <w:ind w:firstLine="411" w:firstLineChars="196"/>
        <w:contextualSpacing/>
        <w:rPr>
          <w:rFonts w:ascii="宋体" w:hAnsi="宋体" w:eastAsia="宋体" w:cs="Times New Roman"/>
          <w:kern w:val="0"/>
          <w:sz w:val="21"/>
          <w:szCs w:val="21"/>
        </w:rPr>
      </w:pPr>
      <w:r>
        <w:rPr>
          <w:rFonts w:ascii="宋体" w:hAnsi="宋体" w:eastAsia="宋体" w:cs="Times New Roman"/>
          <w:kern w:val="0"/>
          <w:sz w:val="21"/>
          <w:szCs w:val="21"/>
        </w:rPr>
        <w:t>根据上述参数衍生出如下计算参数，具体定义如下：</w:t>
      </w:r>
    </w:p>
    <w:p w14:paraId="0EC0A5C4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（1）含油气总量S</w:t>
      </w:r>
      <w:r>
        <w:rPr>
          <w:rFonts w:ascii="Times New Roman" w:hAnsi="Times New Roman" w:eastAsia="宋体" w:cs="Times New Roman"/>
          <w:bCs/>
          <w:kern w:val="0"/>
          <w:sz w:val="21"/>
          <w:szCs w:val="21"/>
          <w:vertAlign w:val="subscript"/>
        </w:rPr>
        <w:t>T</w:t>
      </w:r>
    </w:p>
    <w:p w14:paraId="0FA41B0F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i/>
          <w:spacing w:val="20"/>
          <w:kern w:val="0"/>
          <w:sz w:val="21"/>
          <w:szCs w:val="21"/>
          <w:lang w:val="en-US" w:eastAsia="zh-CN" w:bidi="ar-SA"/>
        </w:rPr>
        <w:t>S</w:t>
      </w:r>
      <w:r>
        <w:rPr>
          <w:rFonts w:ascii="Times New Roman" w:hAnsi="Times New Roman" w:eastAsia="宋体" w:cs="Times New Roman"/>
          <w:i/>
          <w:spacing w:val="20"/>
          <w:kern w:val="0"/>
          <w:sz w:val="21"/>
          <w:szCs w:val="21"/>
          <w:vertAlign w:val="subscript"/>
          <w:lang w:val="en-US" w:eastAsia="zh-CN" w:bidi="ar-SA"/>
        </w:rPr>
        <w:t>T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=S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0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1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+10RC/0.9</w:t>
      </w:r>
      <w:r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  <w:t>（三峰法）</w:t>
      </w:r>
    </w:p>
    <w:p w14:paraId="25AED389">
      <w:pPr>
        <w:widowControl/>
        <w:spacing w:line="360" w:lineRule="auto"/>
        <w:ind w:firstLine="560" w:firstLineChars="0"/>
        <w:contextualSpacing/>
        <w:rPr>
          <w:rFonts w:ascii="Times New Roman" w:hAnsi="Times New Roman" w:eastAsia="宋体" w:cs="Times New Roman"/>
          <w:spacing w:val="20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</w:rPr>
        <w:t>式中10、0.9分别为换算系数。</w:t>
      </w:r>
    </w:p>
    <w:p w14:paraId="3EF5F461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（2）气产率指数GPI：</w:t>
      </w:r>
    </w:p>
    <w:p w14:paraId="7CACFD42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kern w:val="0"/>
          <w:position w:val="-30"/>
          <w:sz w:val="21"/>
          <w:szCs w:val="21"/>
          <w:lang w:val="en-US" w:eastAsia="zh-CN" w:bidi="ar-SA"/>
        </w:rPr>
        <w:object>
          <v:shape id="_x0000_i1025" o:spt="75" type="#_x0000_t75" style="height:36.3pt;width:100.8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</w:p>
    <w:p w14:paraId="137CCCE2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>式中GPI—气产率指数，无量纲。</w:t>
      </w:r>
    </w:p>
    <w:p w14:paraId="35CCAFFA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（3）油产率指数OPI：</w:t>
      </w:r>
    </w:p>
    <w:p w14:paraId="0887D44E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kern w:val="0"/>
          <w:position w:val="-30"/>
          <w:sz w:val="21"/>
          <w:szCs w:val="21"/>
          <w:lang w:val="en-US" w:eastAsia="zh-CN" w:bidi="ar-SA"/>
        </w:rPr>
        <w:object>
          <v:shape id="_x0000_i1026" o:spt="75" type="#_x0000_t75" style="height:36.3pt;width:100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</w:p>
    <w:p w14:paraId="5DE85694">
      <w:pPr>
        <w:widowControl/>
        <w:spacing w:line="360" w:lineRule="auto"/>
        <w:ind w:firstLine="560" w:firstLineChars="0"/>
        <w:contextualSpacing/>
        <w:rPr>
          <w:rFonts w:ascii="Times New Roman" w:hAnsi="Times New Roman" w:eastAsia="宋体" w:cs="Times New Roman"/>
          <w:spacing w:val="20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</w:rPr>
        <w:t>式中OPI—油产率指数，无量纲。</w:t>
      </w:r>
    </w:p>
    <w:p w14:paraId="354E45FB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（4）总产率指数TPI：</w:t>
      </w:r>
    </w:p>
    <w:p w14:paraId="16DF7C56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kern w:val="0"/>
          <w:position w:val="-30"/>
          <w:sz w:val="21"/>
          <w:szCs w:val="21"/>
          <w:lang w:val="en-US" w:eastAsia="zh-CN" w:bidi="ar-SA"/>
        </w:rPr>
        <w:object>
          <v:shape id="_x0000_i1027" o:spt="75" type="#_x0000_t75" style="height:36.3pt;width:93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 w14:paraId="16B1B407">
      <w:pPr>
        <w:widowControl/>
        <w:spacing w:line="360" w:lineRule="auto"/>
        <w:ind w:firstLine="560" w:firstLineChars="0"/>
        <w:contextualSpacing/>
        <w:rPr>
          <w:rFonts w:ascii="Times New Roman" w:hAnsi="Times New Roman" w:eastAsia="宋体" w:cs="Times New Roman"/>
          <w:spacing w:val="20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</w:rPr>
        <w:t>式中TPI—总产率指数，无量纲。</w:t>
      </w:r>
    </w:p>
    <w:p w14:paraId="3A5440A4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（5）原油轻重组分指数PS</w:t>
      </w:r>
    </w:p>
    <w:p w14:paraId="4D40B416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i/>
          <w:spacing w:val="20"/>
          <w:kern w:val="0"/>
          <w:sz w:val="21"/>
          <w:szCs w:val="21"/>
          <w:lang w:val="en-US" w:eastAsia="zh-CN" w:bidi="ar-SA"/>
        </w:rPr>
        <w:t>PS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=S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1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/S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46498808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（6）产烃潜量Pg</w:t>
      </w:r>
    </w:p>
    <w:p w14:paraId="0DF48528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</w:pPr>
      <w:r>
        <w:rPr>
          <w:rFonts w:ascii="Times New Roman" w:hAnsi="Times New Roman" w:eastAsia="宋体" w:cs="Times New Roman"/>
          <w:i/>
          <w:spacing w:val="20"/>
          <w:kern w:val="0"/>
          <w:sz w:val="21"/>
          <w:szCs w:val="21"/>
          <w:lang w:val="en-US" w:eastAsia="zh-CN" w:bidi="ar-SA"/>
        </w:rPr>
        <w:t>Pg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=S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0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1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2</w:t>
      </w:r>
    </w:p>
    <w:p w14:paraId="78A518BC">
      <w:pPr>
        <w:widowControl/>
        <w:spacing w:line="360" w:lineRule="auto"/>
        <w:ind w:firstLine="480" w:firstLineChars="0"/>
        <w:contextualSpacing/>
        <w:rPr>
          <w:rFonts w:ascii="Times New Roman" w:hAnsi="Times New Roman" w:eastAsia="宋体" w:cs="Times New Roman"/>
          <w:bCs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bCs/>
          <w:kern w:val="0"/>
          <w:sz w:val="21"/>
          <w:szCs w:val="21"/>
        </w:rPr>
        <w:t>（7）原油中重质烃类及胶质和沥青质含量HPI</w:t>
      </w:r>
    </w:p>
    <w:p w14:paraId="70B2CFE4">
      <w:pPr>
        <w:spacing w:line="360" w:lineRule="auto"/>
        <w:ind w:left="0" w:leftChars="0" w:firstLine="0"/>
        <w:contextualSpacing/>
        <w:jc w:val="center"/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</w:pPr>
      <w:r>
        <w:rPr>
          <w:rFonts w:ascii="Times New Roman" w:hAnsi="Times New Roman" w:eastAsia="宋体" w:cs="Times New Roman"/>
          <w:i/>
          <w:spacing w:val="20"/>
          <w:kern w:val="0"/>
          <w:sz w:val="21"/>
          <w:szCs w:val="21"/>
          <w:lang w:val="en-US" w:eastAsia="zh-CN" w:bidi="ar-SA"/>
        </w:rPr>
        <w:t>HPI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=S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/</w:t>
      </w:r>
      <w:r>
        <w:rPr>
          <w:rFonts w:hint="eastAsia"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(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0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1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+S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vertAlign w:val="subscript"/>
          <w:lang w:val="en-US" w:eastAsia="zh-CN" w:bidi="ar-SA"/>
        </w:rPr>
        <w:t>2</w:t>
      </w:r>
      <w:r>
        <w:rPr>
          <w:rFonts w:ascii="Times New Roman" w:hAnsi="Times New Roman" w:eastAsia="宋体" w:cs="Times New Roman"/>
          <w:spacing w:val="20"/>
          <w:kern w:val="0"/>
          <w:sz w:val="21"/>
          <w:szCs w:val="21"/>
          <w:lang w:val="en-US" w:eastAsia="zh-CN" w:bidi="ar-SA"/>
        </w:rPr>
        <w:t>)</w:t>
      </w:r>
    </w:p>
    <w:p w14:paraId="71C2E040">
      <w:pPr>
        <w:widowControl/>
        <w:spacing w:line="360" w:lineRule="auto"/>
        <w:ind w:firstLine="480" w:firstLineChars="0"/>
        <w:contextualSpacing/>
        <w:rPr>
          <w:rFonts w:hint="default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 xml:space="preserve">2.2 </w:t>
      </w:r>
      <w:r>
        <w:rPr>
          <w:rFonts w:hint="eastAsia"/>
          <w:b/>
          <w:bCs/>
        </w:rPr>
        <w:t>热蒸发烃气相色谱技术</w:t>
      </w:r>
    </w:p>
    <w:p w14:paraId="7563732C">
      <w:pPr>
        <w:ind w:firstLine="480"/>
        <w:rPr>
          <w:bCs/>
        </w:rPr>
      </w:pPr>
      <w:r>
        <w:rPr>
          <w:rFonts w:hint="eastAsia"/>
          <w:bCs/>
          <w:lang w:eastAsia="zh-CN"/>
        </w:rPr>
        <w:t>（</w:t>
      </w:r>
      <w:r>
        <w:rPr>
          <w:rFonts w:hint="eastAsia"/>
          <w:bCs/>
          <w:lang w:val="en-US" w:eastAsia="zh-CN"/>
        </w:rPr>
        <w:t>1</w:t>
      </w:r>
      <w:r>
        <w:rPr>
          <w:rFonts w:hint="eastAsia"/>
          <w:bCs/>
          <w:lang w:eastAsia="zh-CN"/>
        </w:rPr>
        <w:t>）</w:t>
      </w:r>
      <w:r>
        <w:rPr>
          <w:bCs/>
        </w:rPr>
        <w:t>主峰碳：一组色谱峰中质量分数最大的正构烷烃碳数。</w:t>
      </w:r>
    </w:p>
    <w:p w14:paraId="03464CC2">
      <w:pPr>
        <w:ind w:firstLine="480"/>
        <w:rPr>
          <w:bCs/>
        </w:rPr>
      </w:pPr>
      <w:r>
        <w:rPr>
          <w:bCs/>
        </w:rPr>
        <w:t>（2）奇偶优势OEP：</w:t>
      </w:r>
    </w:p>
    <w:p w14:paraId="3AFB6600">
      <w:pPr>
        <w:ind w:firstLine="840" w:firstLineChars="400"/>
        <w:rPr>
          <w:snapToGrid w:val="0"/>
        </w:rPr>
      </w:pPr>
      <w:r>
        <w:rPr>
          <w:snapToGrid w:val="0"/>
          <w:position w:val="-32"/>
        </w:rPr>
        <w:object>
          <v:shape id="_x0000_i1028" o:spt="75" type="#_x0000_t75" style="height:43.8pt;width:172.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</w:p>
    <w:p w14:paraId="5984D854">
      <w:pPr>
        <w:ind w:firstLine="480"/>
        <w:rPr>
          <w:snapToGrid w:val="0"/>
        </w:rPr>
      </w:pPr>
      <w:r>
        <w:rPr>
          <w:snapToGrid w:val="0"/>
        </w:rPr>
        <w:t>式中K：主峰碳数，C</w:t>
      </w:r>
      <w:r>
        <w:rPr>
          <w:spacing w:val="20"/>
          <w:vertAlign w:val="subscript"/>
        </w:rPr>
        <w:t>K</w:t>
      </w:r>
      <w:r>
        <w:rPr>
          <w:snapToGrid w:val="0"/>
        </w:rPr>
        <w:t>：主峰碳组分质量分数，其余类推。</w:t>
      </w:r>
    </w:p>
    <w:p w14:paraId="586C068D">
      <w:pPr>
        <w:ind w:firstLine="480"/>
        <w:rPr>
          <w:bCs/>
        </w:rPr>
      </w:pPr>
      <w:r>
        <w:rPr>
          <w:bCs/>
        </w:rPr>
        <w:t>（3）碳奇偶优势指数CPI：</w:t>
      </w:r>
    </w:p>
    <w:p w14:paraId="4344289D">
      <w:pPr>
        <w:ind w:firstLine="959" w:firstLineChars="457"/>
        <w:rPr>
          <w:snapToGrid w:val="0"/>
        </w:rPr>
      </w:pPr>
      <w:r>
        <w:rPr>
          <w:snapToGrid w:val="0"/>
          <w:position w:val="-30"/>
        </w:rPr>
        <w:object>
          <v:shape id="_x0000_i1029" o:spt="75" type="#_x0000_t75" style="height:36.3pt;width:273.1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</w:p>
    <w:p w14:paraId="28D6DD43">
      <w:pPr>
        <w:ind w:firstLine="959" w:firstLineChars="457"/>
        <w:rPr>
          <w:snapToGrid w:val="0"/>
        </w:rPr>
      </w:pPr>
      <w:r>
        <w:rPr>
          <w:snapToGrid w:val="0"/>
        </w:rPr>
        <w:t>式中C</w:t>
      </w:r>
      <w:r>
        <w:rPr>
          <w:snapToGrid w:val="0"/>
          <w:vertAlign w:val="subscript"/>
        </w:rPr>
        <w:t>25</w:t>
      </w:r>
      <w:r>
        <w:rPr>
          <w:snapToGrid w:val="0"/>
        </w:rPr>
        <w:t>：C</w:t>
      </w:r>
      <w:r>
        <w:rPr>
          <w:snapToGrid w:val="0"/>
          <w:vertAlign w:val="subscript"/>
        </w:rPr>
        <w:t>25</w:t>
      </w:r>
      <w:r>
        <w:rPr>
          <w:snapToGrid w:val="0"/>
        </w:rPr>
        <w:t>组分的质量分数，其余类推。</w:t>
      </w:r>
    </w:p>
    <w:p w14:paraId="55F31F17">
      <w:pPr>
        <w:ind w:firstLine="480"/>
        <w:rPr>
          <w:snapToGrid w:val="0"/>
        </w:rPr>
      </w:pPr>
      <w:r>
        <w:rPr>
          <w:bCs/>
        </w:rPr>
        <w:t>（4）∑nC</w:t>
      </w:r>
      <w:r>
        <w:rPr>
          <w:bCs/>
          <w:vertAlign w:val="subscript"/>
        </w:rPr>
        <w:t>21</w:t>
      </w:r>
      <w:r>
        <w:rPr>
          <w:bCs/>
          <w:vertAlign w:val="superscript"/>
        </w:rPr>
        <w:t>-</w:t>
      </w:r>
      <w:r>
        <w:rPr>
          <w:bCs/>
        </w:rPr>
        <w:t>/∑nC</w:t>
      </w:r>
      <w:r>
        <w:rPr>
          <w:bCs/>
          <w:vertAlign w:val="subscript"/>
        </w:rPr>
        <w:t>22</w:t>
      </w:r>
      <w:r>
        <w:rPr>
          <w:bCs/>
          <w:vertAlign w:val="superscript"/>
        </w:rPr>
        <w:t>+</w:t>
      </w:r>
      <w:r>
        <w:rPr>
          <w:bCs/>
        </w:rPr>
        <w:t>：nC</w:t>
      </w:r>
      <w:r>
        <w:rPr>
          <w:bCs/>
          <w:vertAlign w:val="subscript"/>
        </w:rPr>
        <w:t>21</w:t>
      </w:r>
      <w:r>
        <w:rPr>
          <w:bCs/>
        </w:rPr>
        <w:t>以前的组分质量分数总和与nC</w:t>
      </w:r>
      <w:r>
        <w:rPr>
          <w:bCs/>
          <w:vertAlign w:val="subscript"/>
        </w:rPr>
        <w:t>22</w:t>
      </w:r>
      <w:r>
        <w:rPr>
          <w:bCs/>
        </w:rPr>
        <w:t>以后组分质量分数总和</w:t>
      </w:r>
      <w:r>
        <w:rPr>
          <w:snapToGrid w:val="0"/>
        </w:rPr>
        <w:t>的比值。</w:t>
      </w:r>
    </w:p>
    <w:p w14:paraId="6AFCA7B2">
      <w:pPr>
        <w:ind w:firstLine="480"/>
        <w:rPr>
          <w:snapToGrid w:val="0"/>
        </w:rPr>
      </w:pPr>
      <w:r>
        <w:rPr>
          <w:bCs/>
        </w:rPr>
        <w:t>（5）nC</w:t>
      </w:r>
      <w:r>
        <w:rPr>
          <w:bCs/>
          <w:vertAlign w:val="subscript"/>
        </w:rPr>
        <w:t>21</w:t>
      </w:r>
      <w:r>
        <w:rPr>
          <w:bCs/>
        </w:rPr>
        <w:t>+nC</w:t>
      </w:r>
      <w:r>
        <w:rPr>
          <w:bCs/>
          <w:vertAlign w:val="subscript"/>
        </w:rPr>
        <w:t>22</w:t>
      </w:r>
      <w:r>
        <w:rPr>
          <w:bCs/>
        </w:rPr>
        <w:t>/nC</w:t>
      </w:r>
      <w:r>
        <w:rPr>
          <w:bCs/>
          <w:vertAlign w:val="subscript"/>
        </w:rPr>
        <w:t>28</w:t>
      </w:r>
      <w:r>
        <w:rPr>
          <w:bCs/>
        </w:rPr>
        <w:t>+nC</w:t>
      </w:r>
      <w:r>
        <w:rPr>
          <w:bCs/>
          <w:vertAlign w:val="subscript"/>
        </w:rPr>
        <w:t>29</w:t>
      </w:r>
      <w:r>
        <w:rPr>
          <w:bCs/>
        </w:rPr>
        <w:t>：nC</w:t>
      </w:r>
      <w:r>
        <w:rPr>
          <w:bCs/>
          <w:vertAlign w:val="subscript"/>
        </w:rPr>
        <w:t>21</w:t>
      </w:r>
      <w:r>
        <w:rPr>
          <w:bCs/>
        </w:rPr>
        <w:t>、nC</w:t>
      </w:r>
      <w:r>
        <w:rPr>
          <w:bCs/>
          <w:vertAlign w:val="subscript"/>
        </w:rPr>
        <w:t>22</w:t>
      </w:r>
      <w:r>
        <w:rPr>
          <w:bCs/>
        </w:rPr>
        <w:t>组分质量分数和与nC</w:t>
      </w:r>
      <w:r>
        <w:rPr>
          <w:bCs/>
          <w:vertAlign w:val="subscript"/>
        </w:rPr>
        <w:t>28</w:t>
      </w:r>
      <w:r>
        <w:rPr>
          <w:bCs/>
        </w:rPr>
        <w:t>、nC</w:t>
      </w:r>
      <w:r>
        <w:rPr>
          <w:bCs/>
          <w:vertAlign w:val="subscript"/>
        </w:rPr>
        <w:t>29</w:t>
      </w:r>
      <w:r>
        <w:rPr>
          <w:bCs/>
        </w:rPr>
        <w:t>组分质量分数和</w:t>
      </w:r>
      <w:r>
        <w:rPr>
          <w:snapToGrid w:val="0"/>
        </w:rPr>
        <w:t>的比值。</w:t>
      </w:r>
    </w:p>
    <w:p w14:paraId="79BA388B">
      <w:pPr>
        <w:ind w:firstLine="480"/>
        <w:rPr>
          <w:bCs/>
        </w:rPr>
      </w:pPr>
      <w:r>
        <w:rPr>
          <w:bCs/>
        </w:rPr>
        <w:t>（6）Pr/Ph：姥鲛烷峰面积与植烷峰面积比值。</w:t>
      </w:r>
    </w:p>
    <w:p w14:paraId="78182773">
      <w:pPr>
        <w:ind w:firstLine="480"/>
        <w:rPr>
          <w:bCs/>
        </w:rPr>
      </w:pPr>
      <w:r>
        <w:rPr>
          <w:bCs/>
        </w:rPr>
        <w:t>（7）Pr/nC</w:t>
      </w:r>
      <w:r>
        <w:rPr>
          <w:bCs/>
          <w:vertAlign w:val="subscript"/>
        </w:rPr>
        <w:t>17</w:t>
      </w:r>
      <w:r>
        <w:rPr>
          <w:bCs/>
        </w:rPr>
        <w:t>：姥鲛烷峰面积与正十七烷峰面积比值。</w:t>
      </w:r>
    </w:p>
    <w:p w14:paraId="5FEB65EA">
      <w:pPr>
        <w:ind w:firstLine="480"/>
        <w:rPr>
          <w:rFonts w:hint="eastAsia"/>
          <w:lang w:val="en-US" w:eastAsia="zh-CN"/>
        </w:rPr>
      </w:pPr>
      <w:r>
        <w:rPr>
          <w:snapToGrid w:val="0"/>
        </w:rPr>
        <w:t>（8）Ph/nC</w:t>
      </w:r>
      <w:r>
        <w:rPr>
          <w:snapToGrid w:val="0"/>
          <w:vertAlign w:val="subscript"/>
        </w:rPr>
        <w:t>18</w:t>
      </w:r>
      <w:r>
        <w:rPr>
          <w:snapToGrid w:val="0"/>
        </w:rPr>
        <w:t>：植烷峰面积与正十八烷峰面积比值</w:t>
      </w:r>
      <w:r>
        <w:rPr>
          <w:snapToGrid w:val="0"/>
          <w:color w:val="auto"/>
        </w:rPr>
        <w:t>。</w:t>
      </w:r>
    </w:p>
    <w:p w14:paraId="5E869B34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可能的油气水层地球化学解释标准包括：</w:t>
      </w:r>
    </w:p>
    <w:p w14:paraId="589FC5F0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烃类气体组成及比值（干燥系数、气体湿度比等）</w:t>
      </w:r>
    </w:p>
    <w:p w14:paraId="24060192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热解参数（S0, S1, S2, Tmax）</w:t>
      </w:r>
    </w:p>
    <w:p w14:paraId="5520F517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碳同位素组成</w:t>
      </w:r>
    </w:p>
    <w:p w14:paraId="725AA334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地层水化学特征（矿化度、离子组成）</w:t>
      </w:r>
    </w:p>
    <w:p w14:paraId="46D87929">
      <w:pPr>
        <w:numPr>
          <w:ilvl w:val="0"/>
          <w:numId w:val="0"/>
        </w:numPr>
        <w:bidi w:val="0"/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其他指标如轻烃分析、生物标志化合物等</w:t>
      </w:r>
    </w:p>
    <w:p w14:paraId="00A8FB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地球化学录井在油气水层解释中依赖多种地球化学参数和指标，以下为常见的解释标准及方法：</w:t>
      </w:r>
    </w:p>
    <w:p w14:paraId="5A87F8F2">
      <w:pPr>
        <w:widowControl/>
        <w:spacing w:line="360" w:lineRule="auto"/>
        <w:ind w:firstLine="480" w:firstLineChars="0"/>
        <w:contextualSpacing/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/>
        </w:rPr>
        <w:t>2.3轻烃组分分析技术</w:t>
      </w:r>
    </w:p>
    <w:p w14:paraId="5EB53562">
      <w:pPr>
        <w:autoSpaceDE w:val="0"/>
        <w:autoSpaceDN w:val="0"/>
        <w:adjustRightInd w:val="0"/>
        <w:ind w:firstLine="480"/>
        <w:rPr>
          <w:rFonts w:eastAsia="TimesNewRoman"/>
        </w:rPr>
      </w:pPr>
      <w:r>
        <w:rPr>
          <w:rFonts w:hint="eastAsia"/>
        </w:rPr>
        <w:t>轻烃</w:t>
      </w:r>
      <w:r>
        <w:t>分析技术是基于石油、天然气中轻烃化合物的浓度和分布、稳定性及在水中的</w:t>
      </w:r>
      <w:r>
        <w:rPr>
          <w:rFonts w:hint="eastAsia"/>
        </w:rPr>
        <w:t>溶解</w:t>
      </w:r>
      <w:r>
        <w:t>度等物理化学性质差异，</w:t>
      </w:r>
      <w:r>
        <w:rPr>
          <w:rFonts w:hint="eastAsia"/>
        </w:rPr>
        <w:t>找出</w:t>
      </w:r>
      <w:r>
        <w:t>石油、天然气的成因类型</w:t>
      </w:r>
      <w:r>
        <w:rPr>
          <w:rFonts w:hint="eastAsia"/>
        </w:rPr>
        <w:t>和</w:t>
      </w:r>
      <w:r>
        <w:t>遭受的热演化程度及次生演化</w:t>
      </w:r>
      <w:r>
        <w:rPr>
          <w:rFonts w:hint="eastAsia"/>
        </w:rPr>
        <w:t>强度的</w:t>
      </w:r>
      <w:r>
        <w:t>规律，进而对油气水识别和评价。</w:t>
      </w:r>
      <w:r>
        <w:rPr>
          <w:rFonts w:hint="eastAsia"/>
        </w:rPr>
        <w:t>根据</w:t>
      </w:r>
      <w:r>
        <w:t>水体对油藏改造的特点，选取、优化相关参数，实现油藏含水的有效评价是实现轻烃储层评价的基本思路</w:t>
      </w:r>
      <w:r>
        <w:rPr>
          <w:rFonts w:hint="eastAsia"/>
        </w:rPr>
        <w:t>，部分轻烃组分参数如下：</w:t>
      </w:r>
    </w:p>
    <w:p w14:paraId="68CDE1E4">
      <w:pPr>
        <w:ind w:firstLine="480"/>
        <w:rPr>
          <w:snapToGrid w:val="0"/>
        </w:rPr>
      </w:pPr>
      <w:r>
        <w:rPr>
          <w:snapToGrid w:val="0"/>
        </w:rPr>
        <w:t>（1）</w:t>
      </w:r>
      <w:r>
        <w:rPr>
          <w:rFonts w:hint="eastAsia"/>
          <w:snapToGrid w:val="0"/>
        </w:rPr>
        <w:t>轻烃丰度</w:t>
      </w:r>
      <w:r>
        <w:rPr>
          <w:snapToGrid w:val="0"/>
        </w:rPr>
        <w:t>及反映物性变化的参数</w:t>
      </w:r>
    </w:p>
    <w:p w14:paraId="3D5FDA3E">
      <w:pPr>
        <w:wordWrap w:val="0"/>
        <w:autoSpaceDE w:val="0"/>
        <w:autoSpaceDN w:val="0"/>
        <w:adjustRightInd w:val="0"/>
        <w:ind w:firstLine="480"/>
      </w:pPr>
      <w:r>
        <w:rPr>
          <w:rFonts w:hint="eastAsia"/>
        </w:rPr>
        <w:t>轻烃丰度</w:t>
      </w:r>
      <w:r>
        <w:t>及反映物性变化的参数包括：C</w:t>
      </w:r>
      <w:r>
        <w:rPr>
          <w:vertAlign w:val="subscript"/>
        </w:rPr>
        <w:t>5</w:t>
      </w:r>
      <w:r>
        <w:t>/C</w:t>
      </w:r>
      <w:r>
        <w:rPr>
          <w:vertAlign w:val="subscript"/>
        </w:rPr>
        <w:t>6</w:t>
      </w:r>
      <w:r>
        <w:rPr>
          <w:rFonts w:hint="eastAsia"/>
        </w:rPr>
        <w:t>，</w:t>
      </w:r>
      <w:r>
        <w:t>C</w:t>
      </w:r>
      <w:r>
        <w:rPr>
          <w:vertAlign w:val="subscript"/>
        </w:rPr>
        <w:t>6</w:t>
      </w:r>
      <w:r>
        <w:t>/C</w:t>
      </w:r>
      <w:r>
        <w:rPr>
          <w:vertAlign w:val="subscript"/>
        </w:rPr>
        <w:t>7</w:t>
      </w:r>
      <w:r>
        <w:rPr>
          <w:rFonts w:hint="eastAsia"/>
        </w:rPr>
        <w:t>，</w:t>
      </w:r>
      <w:r>
        <w:rPr>
          <w:snapToGrid w:val="0"/>
        </w:rPr>
        <w:t>∑(C</w:t>
      </w:r>
      <w:r>
        <w:rPr>
          <w:snapToGrid w:val="0"/>
          <w:vertAlign w:val="subscript"/>
        </w:rPr>
        <w:t>1</w:t>
      </w:r>
      <w:r>
        <w:rPr>
          <w:snapToGrid w:val="0"/>
        </w:rPr>
        <w:t>-C</w:t>
      </w:r>
      <w:r>
        <w:rPr>
          <w:snapToGrid w:val="0"/>
          <w:vertAlign w:val="subscript"/>
        </w:rPr>
        <w:t>5</w:t>
      </w:r>
      <w:r>
        <w:rPr>
          <w:snapToGrid w:val="0"/>
        </w:rPr>
        <w:t>)/∑(C</w:t>
      </w:r>
      <w:r>
        <w:rPr>
          <w:snapToGrid w:val="0"/>
          <w:vertAlign w:val="subscript"/>
        </w:rPr>
        <w:t>1</w:t>
      </w:r>
      <w:r>
        <w:rPr>
          <w:snapToGrid w:val="0"/>
        </w:rPr>
        <w:t>-C</w:t>
      </w:r>
      <w:r>
        <w:rPr>
          <w:snapToGrid w:val="0"/>
          <w:vertAlign w:val="subscript"/>
        </w:rPr>
        <w:t>9</w:t>
      </w:r>
      <w:r>
        <w:rPr>
          <w:snapToGrid w:val="0"/>
        </w:rPr>
        <w:t>)</w:t>
      </w:r>
      <w:r>
        <w:rPr>
          <w:rFonts w:hint="eastAsia"/>
          <w:snapToGrid w:val="0"/>
        </w:rPr>
        <w:t>、</w:t>
      </w:r>
      <w:r>
        <w:rPr>
          <w:snapToGrid w:val="0"/>
        </w:rPr>
        <w:t>∑(C</w:t>
      </w:r>
      <w:r>
        <w:rPr>
          <w:snapToGrid w:val="0"/>
          <w:vertAlign w:val="subscript"/>
        </w:rPr>
        <w:t>6</w:t>
      </w:r>
      <w:r>
        <w:rPr>
          <w:snapToGrid w:val="0"/>
        </w:rPr>
        <w:t>-C</w:t>
      </w:r>
      <w:r>
        <w:rPr>
          <w:snapToGrid w:val="0"/>
          <w:vertAlign w:val="subscript"/>
        </w:rPr>
        <w:t>9</w:t>
      </w:r>
      <w:r>
        <w:rPr>
          <w:snapToGrid w:val="0"/>
        </w:rPr>
        <w:t>)/∑(C</w:t>
      </w:r>
      <w:r>
        <w:rPr>
          <w:snapToGrid w:val="0"/>
          <w:vertAlign w:val="subscript"/>
        </w:rPr>
        <w:t>1</w:t>
      </w:r>
      <w:r>
        <w:rPr>
          <w:snapToGrid w:val="0"/>
        </w:rPr>
        <w:t>-C</w:t>
      </w:r>
      <w:r>
        <w:rPr>
          <w:snapToGrid w:val="0"/>
          <w:vertAlign w:val="subscript"/>
        </w:rPr>
        <w:t>9</w:t>
      </w:r>
      <w:r>
        <w:rPr>
          <w:snapToGrid w:val="0"/>
        </w:rPr>
        <w:t>)</w:t>
      </w:r>
      <w:r>
        <w:rPr>
          <w:rFonts w:hint="eastAsia"/>
          <w:snapToGrid w:val="0"/>
        </w:rPr>
        <w:t>，（n</w:t>
      </w:r>
      <w:r>
        <w:rPr>
          <w:snapToGrid w:val="0"/>
        </w:rPr>
        <w:t>C</w:t>
      </w:r>
      <w:r>
        <w:rPr>
          <w:vertAlign w:val="subscript"/>
        </w:rPr>
        <w:t>6</w:t>
      </w:r>
      <w:r>
        <w:rPr>
          <w:snapToGrid w:val="0"/>
        </w:rPr>
        <w:t>+nC</w:t>
      </w:r>
      <w:r>
        <w:rPr>
          <w:vertAlign w:val="subscript"/>
        </w:rPr>
        <w:t>7</w:t>
      </w:r>
      <w:r>
        <w:rPr>
          <w:snapToGrid w:val="0"/>
        </w:rPr>
        <w:t>+nC</w:t>
      </w:r>
      <w:r>
        <w:rPr>
          <w:vertAlign w:val="subscript"/>
        </w:rPr>
        <w:t>8</w:t>
      </w:r>
      <w:r>
        <w:rPr>
          <w:snapToGrid w:val="0"/>
        </w:rPr>
        <w:t>）</w:t>
      </w:r>
      <w:r>
        <w:rPr>
          <w:rFonts w:hint="eastAsia"/>
          <w:snapToGrid w:val="0"/>
        </w:rPr>
        <w:t>/</w:t>
      </w:r>
      <w:r>
        <w:rPr>
          <w:snapToGrid w:val="0"/>
        </w:rPr>
        <w:t>∑(C</w:t>
      </w:r>
      <w:r>
        <w:rPr>
          <w:vertAlign w:val="subscript"/>
        </w:rPr>
        <w:t>6</w:t>
      </w:r>
      <w:r>
        <w:rPr>
          <w:snapToGrid w:val="0"/>
        </w:rPr>
        <w:t>-C</w:t>
      </w:r>
      <w:r>
        <w:rPr>
          <w:vertAlign w:val="subscript"/>
        </w:rPr>
        <w:t>8</w:t>
      </w:r>
      <w:r>
        <w:rPr>
          <w:snapToGrid w:val="0"/>
        </w:rPr>
        <w:t>)</w:t>
      </w:r>
      <w:r>
        <w:rPr>
          <w:rFonts w:hint="eastAsia"/>
          <w:snapToGrid w:val="0"/>
        </w:rPr>
        <w:t>，</w:t>
      </w:r>
      <w:r>
        <w:rPr>
          <w:snapToGrid w:val="0"/>
        </w:rPr>
        <w:t>C</w:t>
      </w:r>
      <w:r>
        <w:rPr>
          <w:vertAlign w:val="subscript"/>
        </w:rPr>
        <w:t>1</w:t>
      </w:r>
      <w:r>
        <w:rPr>
          <w:snapToGrid w:val="0"/>
        </w:rPr>
        <w:t>~</w:t>
      </w:r>
      <w:r>
        <w:rPr>
          <w:rFonts w:hint="eastAsia"/>
          <w:snapToGrid w:val="0"/>
        </w:rPr>
        <w:t>C</w:t>
      </w:r>
      <w:r>
        <w:rPr>
          <w:rFonts w:hint="eastAsia"/>
          <w:vertAlign w:val="subscript"/>
        </w:rPr>
        <w:t>9</w:t>
      </w:r>
      <w:r>
        <w:rPr>
          <w:snapToGrid w:val="0"/>
        </w:rPr>
        <w:t>中不同</w:t>
      </w:r>
      <w:r>
        <w:rPr>
          <w:rFonts w:hint="eastAsia"/>
          <w:snapToGrid w:val="0"/>
        </w:rPr>
        <w:t>碳数</w:t>
      </w:r>
      <w:r>
        <w:rPr>
          <w:snapToGrid w:val="0"/>
        </w:rPr>
        <w:t>中各碳数烃的总含量和</w:t>
      </w:r>
      <w:r>
        <w:rPr>
          <w:rFonts w:hint="eastAsia"/>
          <w:snapToGrid w:val="0"/>
        </w:rPr>
        <w:t>不同</w:t>
      </w:r>
      <w:r>
        <w:rPr>
          <w:snapToGrid w:val="0"/>
        </w:rPr>
        <w:t>碳数中直链烷烃（</w:t>
      </w:r>
      <w:r>
        <w:rPr>
          <w:rFonts w:hint="eastAsia"/>
          <w:snapToGrid w:val="0"/>
        </w:rPr>
        <w:t>n</w:t>
      </w:r>
      <w:r>
        <w:rPr>
          <w:snapToGrid w:val="0"/>
        </w:rPr>
        <w:t>-P）</w:t>
      </w:r>
      <w:r>
        <w:rPr>
          <w:rFonts w:hint="eastAsia"/>
          <w:snapToGrid w:val="0"/>
        </w:rPr>
        <w:t>、支链</w:t>
      </w:r>
      <w:r>
        <w:rPr>
          <w:snapToGrid w:val="0"/>
        </w:rPr>
        <w:t>烷烃（</w:t>
      </w:r>
      <w:r>
        <w:rPr>
          <w:rFonts w:hint="eastAsia"/>
          <w:snapToGrid w:val="0"/>
        </w:rPr>
        <w:t>i</w:t>
      </w:r>
      <w:r>
        <w:rPr>
          <w:snapToGrid w:val="0"/>
        </w:rPr>
        <w:t>-P）</w:t>
      </w:r>
      <w:r>
        <w:rPr>
          <w:rFonts w:hint="eastAsia"/>
          <w:snapToGrid w:val="0"/>
        </w:rPr>
        <w:t>、</w:t>
      </w:r>
      <w:r>
        <w:rPr>
          <w:snapToGrid w:val="0"/>
        </w:rPr>
        <w:t>环烷烃（</w:t>
      </w:r>
      <w:r>
        <w:rPr>
          <w:rFonts w:hint="eastAsia"/>
          <w:snapToGrid w:val="0"/>
        </w:rPr>
        <w:t>N</w:t>
      </w:r>
      <w:r>
        <w:rPr>
          <w:snapToGrid w:val="0"/>
        </w:rPr>
        <w:t>）</w:t>
      </w:r>
      <w:r>
        <w:rPr>
          <w:rFonts w:hint="eastAsia"/>
          <w:snapToGrid w:val="0"/>
        </w:rPr>
        <w:t>和</w:t>
      </w:r>
      <w:r>
        <w:rPr>
          <w:snapToGrid w:val="0"/>
        </w:rPr>
        <w:t>芳香烃（</w:t>
      </w:r>
      <w:r>
        <w:rPr>
          <w:rFonts w:hint="eastAsia"/>
          <w:snapToGrid w:val="0"/>
        </w:rPr>
        <w:t>A</w:t>
      </w:r>
      <w:r>
        <w:rPr>
          <w:snapToGrid w:val="0"/>
        </w:rPr>
        <w:t>）</w:t>
      </w:r>
      <w:r>
        <w:rPr>
          <w:rFonts w:hint="eastAsia"/>
          <w:snapToGrid w:val="0"/>
        </w:rPr>
        <w:t>的</w:t>
      </w:r>
      <w:r>
        <w:rPr>
          <w:snapToGrid w:val="0"/>
        </w:rPr>
        <w:t>含量</w:t>
      </w:r>
      <w:r>
        <w:rPr>
          <w:rFonts w:hint="eastAsia"/>
          <w:snapToGrid w:val="0"/>
        </w:rPr>
        <w:t>，</w:t>
      </w:r>
      <w:r>
        <w:rPr>
          <w:snapToGrid w:val="0"/>
        </w:rPr>
        <w:t>C</w:t>
      </w:r>
      <w:r>
        <w:rPr>
          <w:vertAlign w:val="subscript"/>
        </w:rPr>
        <w:t>1</w:t>
      </w:r>
      <w:r>
        <w:rPr>
          <w:snapToGrid w:val="0"/>
        </w:rPr>
        <w:t>~</w:t>
      </w:r>
      <w:r>
        <w:rPr>
          <w:rFonts w:hint="eastAsia"/>
          <w:snapToGrid w:val="0"/>
        </w:rPr>
        <w:t>C</w:t>
      </w:r>
      <w:r>
        <w:rPr>
          <w:rFonts w:hint="eastAsia"/>
          <w:vertAlign w:val="subscript"/>
        </w:rPr>
        <w:t>9</w:t>
      </w:r>
      <w:r>
        <w:rPr>
          <w:snapToGrid w:val="0"/>
        </w:rPr>
        <w:t>中</w:t>
      </w:r>
      <w:r>
        <w:rPr>
          <w:rFonts w:hint="eastAsia"/>
          <w:snapToGrid w:val="0"/>
        </w:rPr>
        <w:t>所以</w:t>
      </w:r>
      <w:r>
        <w:rPr>
          <w:snapToGrid w:val="0"/>
        </w:rPr>
        <w:t>直链烷烃（</w:t>
      </w:r>
      <w:r>
        <w:rPr>
          <w:rFonts w:hint="eastAsia"/>
          <w:snapToGrid w:val="0"/>
        </w:rPr>
        <w:t>n</w:t>
      </w:r>
      <w:r>
        <w:rPr>
          <w:snapToGrid w:val="0"/>
        </w:rPr>
        <w:t>-P）</w:t>
      </w:r>
      <w:r>
        <w:rPr>
          <w:rFonts w:hint="eastAsia"/>
          <w:snapToGrid w:val="0"/>
        </w:rPr>
        <w:t>、支链</w:t>
      </w:r>
      <w:r>
        <w:rPr>
          <w:snapToGrid w:val="0"/>
        </w:rPr>
        <w:t>烷烃（</w:t>
      </w:r>
      <w:r>
        <w:rPr>
          <w:rFonts w:hint="eastAsia"/>
          <w:snapToGrid w:val="0"/>
        </w:rPr>
        <w:t>i</w:t>
      </w:r>
      <w:r>
        <w:rPr>
          <w:snapToGrid w:val="0"/>
        </w:rPr>
        <w:t>-P）</w:t>
      </w:r>
      <w:r>
        <w:rPr>
          <w:rFonts w:hint="eastAsia"/>
          <w:snapToGrid w:val="0"/>
        </w:rPr>
        <w:t>、</w:t>
      </w:r>
      <w:r>
        <w:rPr>
          <w:snapToGrid w:val="0"/>
        </w:rPr>
        <w:t>环烷烃（</w:t>
      </w:r>
      <w:r>
        <w:rPr>
          <w:rFonts w:hint="eastAsia"/>
          <w:snapToGrid w:val="0"/>
        </w:rPr>
        <w:t>N</w:t>
      </w:r>
      <w:r>
        <w:rPr>
          <w:snapToGrid w:val="0"/>
        </w:rPr>
        <w:t>）</w:t>
      </w:r>
      <w:r>
        <w:rPr>
          <w:rFonts w:hint="eastAsia"/>
          <w:snapToGrid w:val="0"/>
        </w:rPr>
        <w:t>和</w:t>
      </w:r>
      <w:r>
        <w:rPr>
          <w:snapToGrid w:val="0"/>
        </w:rPr>
        <w:t>芳香烃（</w:t>
      </w:r>
      <w:r>
        <w:rPr>
          <w:rFonts w:hint="eastAsia"/>
          <w:snapToGrid w:val="0"/>
        </w:rPr>
        <w:t>A</w:t>
      </w:r>
      <w:r>
        <w:rPr>
          <w:snapToGrid w:val="0"/>
        </w:rPr>
        <w:t>）</w:t>
      </w:r>
      <w:r>
        <w:rPr>
          <w:rFonts w:hint="eastAsia"/>
          <w:snapToGrid w:val="0"/>
        </w:rPr>
        <w:t>的总</w:t>
      </w:r>
      <w:r>
        <w:rPr>
          <w:snapToGrid w:val="0"/>
        </w:rPr>
        <w:t>含量</w:t>
      </w:r>
      <w:r>
        <w:rPr>
          <w:rFonts w:hint="eastAsia"/>
          <w:snapToGrid w:val="0"/>
        </w:rPr>
        <w:t>等</w:t>
      </w:r>
      <w:r>
        <w:rPr>
          <w:snapToGrid w:val="0"/>
        </w:rPr>
        <w:t>。</w:t>
      </w:r>
    </w:p>
    <w:p w14:paraId="21446460">
      <w:pPr>
        <w:ind w:firstLine="480"/>
        <w:rPr>
          <w:snapToGrid w:val="0"/>
        </w:rPr>
      </w:pPr>
      <w:r>
        <w:rPr>
          <w:snapToGrid w:val="0"/>
        </w:rPr>
        <w:t>（2）</w:t>
      </w:r>
      <w:r>
        <w:rPr>
          <w:rFonts w:hint="eastAsia"/>
          <w:snapToGrid w:val="0"/>
        </w:rPr>
        <w:t>成熟度</w:t>
      </w:r>
      <w:r>
        <w:rPr>
          <w:snapToGrid w:val="0"/>
        </w:rPr>
        <w:t>参数</w:t>
      </w:r>
    </w:p>
    <w:p w14:paraId="57CB8746">
      <w:pPr>
        <w:ind w:firstLine="411" w:firstLineChars="196"/>
        <w:rPr>
          <w:bCs/>
        </w:rPr>
      </w:pPr>
      <w:r>
        <w:rPr>
          <w:rFonts w:hint="eastAsia"/>
          <w:bCs/>
        </w:rPr>
        <w:t>石蜡指数PI</w:t>
      </w:r>
      <w:r>
        <w:rPr>
          <w:rFonts w:hint="eastAsia"/>
          <w:vertAlign w:val="subscript"/>
        </w:rPr>
        <w:t>1</w:t>
      </w:r>
      <w:r>
        <w:rPr>
          <w:bCs/>
        </w:rPr>
        <w:t>（</w:t>
      </w:r>
      <w:r>
        <w:rPr>
          <w:rFonts w:hint="eastAsia"/>
          <w:bCs/>
        </w:rPr>
        <w:t>%</w:t>
      </w:r>
      <w:r>
        <w:rPr>
          <w:bCs/>
        </w:rPr>
        <w:t>）</w:t>
      </w:r>
    </w:p>
    <w:p w14:paraId="36115E73">
      <w:pPr>
        <w:ind w:firstLine="411" w:firstLineChars="196"/>
        <w:rPr>
          <w:bCs/>
        </w:rPr>
      </w:pPr>
      <w:r>
        <w:rPr>
          <w:bCs/>
        </w:rPr>
        <w:t>PI</w:t>
      </w:r>
      <w:r>
        <w:rPr>
          <w:vertAlign w:val="subscript"/>
        </w:rPr>
        <w:t>1</w:t>
      </w:r>
      <w:r>
        <w:rPr>
          <w:bCs/>
        </w:rPr>
        <w:t>=（</w:t>
      </w:r>
      <w:r>
        <w:rPr>
          <w:rFonts w:hint="eastAsia"/>
          <w:bCs/>
        </w:rPr>
        <w:t>2</w:t>
      </w:r>
      <w:r>
        <w:rPr>
          <w:bCs/>
        </w:rPr>
        <w:t>MC</w:t>
      </w:r>
      <w:r>
        <w:rPr>
          <w:vertAlign w:val="subscript"/>
        </w:rPr>
        <w:t>6</w:t>
      </w:r>
      <w:r>
        <w:rPr>
          <w:bCs/>
        </w:rPr>
        <w:t>+3MC</w:t>
      </w:r>
      <w:r>
        <w:rPr>
          <w:vertAlign w:val="subscript"/>
        </w:rPr>
        <w:t>6</w:t>
      </w:r>
      <w:r>
        <w:rPr>
          <w:bCs/>
        </w:rPr>
        <w:t>）</w:t>
      </w:r>
      <w:r>
        <w:rPr>
          <w:rFonts w:hint="eastAsia"/>
          <w:bCs/>
        </w:rPr>
        <w:t>/（11</w:t>
      </w:r>
      <w:r>
        <w:rPr>
          <w:bCs/>
        </w:rPr>
        <w:t>DMCYC</w:t>
      </w:r>
      <w:r>
        <w:rPr>
          <w:vertAlign w:val="subscript"/>
        </w:rPr>
        <w:t>5</w:t>
      </w:r>
      <w:r>
        <w:rPr>
          <w:bCs/>
        </w:rPr>
        <w:t>+</w:t>
      </w:r>
      <w:r>
        <w:rPr>
          <w:rFonts w:hint="eastAsia"/>
          <w:bCs/>
        </w:rPr>
        <w:t>c</w:t>
      </w:r>
      <w:r>
        <w:rPr>
          <w:bCs/>
        </w:rPr>
        <w:t>1</w:t>
      </w:r>
      <w:r>
        <w:rPr>
          <w:rFonts w:hint="eastAsia"/>
          <w:bCs/>
        </w:rPr>
        <w:t>3</w:t>
      </w:r>
      <w:r>
        <w:rPr>
          <w:bCs/>
        </w:rPr>
        <w:t>DMCYC</w:t>
      </w:r>
      <w:r>
        <w:rPr>
          <w:vertAlign w:val="subscript"/>
        </w:rPr>
        <w:t>5</w:t>
      </w:r>
      <w:r>
        <w:rPr>
          <w:bCs/>
        </w:rPr>
        <w:t>+t1</w:t>
      </w:r>
      <w:r>
        <w:rPr>
          <w:rFonts w:hint="eastAsia"/>
          <w:bCs/>
        </w:rPr>
        <w:t>3</w:t>
      </w:r>
      <w:r>
        <w:rPr>
          <w:bCs/>
        </w:rPr>
        <w:t>DMCYC</w:t>
      </w:r>
      <w:r>
        <w:rPr>
          <w:vertAlign w:val="subscript"/>
        </w:rPr>
        <w:t>5</w:t>
      </w:r>
      <w:r>
        <w:rPr>
          <w:bCs/>
        </w:rPr>
        <w:t>+t12DMCYC</w:t>
      </w:r>
      <w:r>
        <w:rPr>
          <w:vertAlign w:val="subscript"/>
        </w:rPr>
        <w:t>5</w:t>
      </w:r>
      <w:r>
        <w:rPr>
          <w:bCs/>
        </w:rPr>
        <w:t>）</w:t>
      </w:r>
    </w:p>
    <w:p w14:paraId="53612955">
      <w:pPr>
        <w:ind w:firstLine="411" w:firstLineChars="196"/>
        <w:rPr>
          <w:bCs/>
        </w:rPr>
      </w:pPr>
      <w:r>
        <w:rPr>
          <w:rFonts w:hint="eastAsia"/>
          <w:bCs/>
        </w:rPr>
        <w:t>庚烷</w:t>
      </w:r>
      <w:r>
        <w:rPr>
          <w:bCs/>
        </w:rPr>
        <w:t>值PI2（</w:t>
      </w:r>
      <w:r>
        <w:rPr>
          <w:rFonts w:hint="eastAsia"/>
          <w:bCs/>
        </w:rPr>
        <w:t>%</w:t>
      </w:r>
      <w:r>
        <w:rPr>
          <w:bCs/>
        </w:rPr>
        <w:t>）</w:t>
      </w:r>
    </w:p>
    <w:p w14:paraId="517B8DA0">
      <w:pPr>
        <w:wordWrap w:val="0"/>
        <w:ind w:firstLine="411" w:firstLineChars="196"/>
        <w:rPr>
          <w:bCs/>
        </w:rPr>
      </w:pPr>
      <w:r>
        <w:rPr>
          <w:bCs/>
        </w:rPr>
        <w:t>PI</w:t>
      </w:r>
      <w:r>
        <w:rPr>
          <w:vertAlign w:val="subscript"/>
        </w:rPr>
        <w:t>2</w:t>
      </w:r>
      <w:r>
        <w:rPr>
          <w:bCs/>
        </w:rPr>
        <w:t>=nC</w:t>
      </w:r>
      <w:r>
        <w:rPr>
          <w:vertAlign w:val="subscript"/>
        </w:rPr>
        <w:t>7</w:t>
      </w:r>
      <w:r>
        <w:rPr>
          <w:bCs/>
        </w:rPr>
        <w:t>H</w:t>
      </w:r>
      <w:r>
        <w:rPr>
          <w:vertAlign w:val="subscript"/>
        </w:rPr>
        <w:t>16</w:t>
      </w:r>
      <w:r>
        <w:rPr>
          <w:bCs/>
        </w:rPr>
        <w:t>/</w:t>
      </w:r>
      <w:r>
        <w:rPr>
          <w:rFonts w:hint="eastAsia"/>
          <w:bCs/>
        </w:rPr>
        <w:t>（CYC</w:t>
      </w:r>
      <w:r>
        <w:rPr>
          <w:vertAlign w:val="subscript"/>
        </w:rPr>
        <w:t>6</w:t>
      </w:r>
      <w:r>
        <w:rPr>
          <w:bCs/>
        </w:rPr>
        <w:t>+2MC</w:t>
      </w:r>
      <w:r>
        <w:rPr>
          <w:vertAlign w:val="subscript"/>
        </w:rPr>
        <w:t>6</w:t>
      </w:r>
      <w:r>
        <w:rPr>
          <w:bCs/>
        </w:rPr>
        <w:t>+23DMC</w:t>
      </w:r>
      <w:r>
        <w:rPr>
          <w:vertAlign w:val="subscript"/>
        </w:rPr>
        <w:t>5</w:t>
      </w:r>
      <w:r>
        <w:rPr>
          <w:bCs/>
        </w:rPr>
        <w:t>+11DMCYC</w:t>
      </w:r>
      <w:r>
        <w:rPr>
          <w:vertAlign w:val="subscript"/>
        </w:rPr>
        <w:t>5</w:t>
      </w:r>
      <w:r>
        <w:rPr>
          <w:bCs/>
        </w:rPr>
        <w:t>+3MC</w:t>
      </w:r>
      <w:r>
        <w:rPr>
          <w:vertAlign w:val="subscript"/>
        </w:rPr>
        <w:t>6</w:t>
      </w:r>
      <w:r>
        <w:rPr>
          <w:bCs/>
        </w:rPr>
        <w:t>+c13DMCYC</w:t>
      </w:r>
      <w:r>
        <w:rPr>
          <w:vertAlign w:val="subscript"/>
        </w:rPr>
        <w:t>5</w:t>
      </w:r>
      <w:r>
        <w:rPr>
          <w:bCs/>
        </w:rPr>
        <w:t>+t13DMCYC</w:t>
      </w:r>
      <w:r>
        <w:rPr>
          <w:vertAlign w:val="subscript"/>
        </w:rPr>
        <w:t>5</w:t>
      </w:r>
      <w:r>
        <w:rPr>
          <w:bCs/>
        </w:rPr>
        <w:t>+t12DMCYC</w:t>
      </w:r>
      <w:r>
        <w:rPr>
          <w:vertAlign w:val="subscript"/>
        </w:rPr>
        <w:t>5</w:t>
      </w:r>
      <w:r>
        <w:rPr>
          <w:bCs/>
        </w:rPr>
        <w:t>+224TMC</w:t>
      </w:r>
      <w:r>
        <w:rPr>
          <w:vertAlign w:val="subscript"/>
        </w:rPr>
        <w:t>5</w:t>
      </w:r>
      <w:r>
        <w:rPr>
          <w:bCs/>
        </w:rPr>
        <w:t>+nC</w:t>
      </w:r>
      <w:r>
        <w:rPr>
          <w:vertAlign w:val="subscript"/>
        </w:rPr>
        <w:t>7</w:t>
      </w:r>
      <w:r>
        <w:rPr>
          <w:bCs/>
        </w:rPr>
        <w:t>H</w:t>
      </w:r>
      <w:r>
        <w:rPr>
          <w:vertAlign w:val="subscript"/>
        </w:rPr>
        <w:t>16</w:t>
      </w:r>
      <w:r>
        <w:rPr>
          <w:bCs/>
        </w:rPr>
        <w:t>+MCYC</w:t>
      </w:r>
      <w:r>
        <w:rPr>
          <w:vertAlign w:val="subscript"/>
        </w:rPr>
        <w:t>6</w:t>
      </w:r>
      <w:r>
        <w:rPr>
          <w:bCs/>
        </w:rPr>
        <w:t>）</w:t>
      </w:r>
    </w:p>
    <w:p w14:paraId="0BF5149C">
      <w:pPr>
        <w:ind w:firstLine="411" w:firstLineChars="196"/>
        <w:rPr>
          <w:bCs/>
        </w:rPr>
      </w:pPr>
      <w:r>
        <w:rPr>
          <w:rFonts w:hint="eastAsia"/>
          <w:bCs/>
        </w:rPr>
        <w:t>甲基环己烷</w:t>
      </w:r>
      <w:r>
        <w:rPr>
          <w:bCs/>
        </w:rPr>
        <w:t>指数PI3（</w:t>
      </w:r>
      <w:r>
        <w:rPr>
          <w:rFonts w:hint="eastAsia"/>
          <w:bCs/>
        </w:rPr>
        <w:t>%</w:t>
      </w:r>
      <w:r>
        <w:rPr>
          <w:bCs/>
        </w:rPr>
        <w:t>）</w:t>
      </w:r>
    </w:p>
    <w:p w14:paraId="54246436">
      <w:pPr>
        <w:wordWrap w:val="0"/>
        <w:ind w:firstLine="411" w:firstLineChars="196"/>
        <w:rPr>
          <w:bCs/>
        </w:rPr>
      </w:pPr>
      <w:r>
        <w:rPr>
          <w:rFonts w:hint="eastAsia"/>
          <w:bCs/>
        </w:rPr>
        <w:t>PI</w:t>
      </w:r>
      <w:r>
        <w:rPr>
          <w:rFonts w:hint="eastAsia"/>
          <w:vertAlign w:val="subscript"/>
        </w:rPr>
        <w:t>3</w:t>
      </w:r>
      <w:r>
        <w:rPr>
          <w:rFonts w:hint="eastAsia"/>
          <w:bCs/>
        </w:rPr>
        <w:t>=MCYC</w:t>
      </w:r>
      <w:r>
        <w:rPr>
          <w:rFonts w:hint="eastAsia"/>
          <w:vertAlign w:val="subscript"/>
        </w:rPr>
        <w:t>5</w:t>
      </w:r>
      <w:r>
        <w:rPr>
          <w:rFonts w:hint="eastAsia"/>
          <w:bCs/>
        </w:rPr>
        <w:t>/（</w:t>
      </w:r>
      <w:r>
        <w:rPr>
          <w:bCs/>
        </w:rPr>
        <w:t>nC</w:t>
      </w:r>
      <w:r>
        <w:rPr>
          <w:vertAlign w:val="subscript"/>
        </w:rPr>
        <w:t>7</w:t>
      </w:r>
      <w:r>
        <w:rPr>
          <w:bCs/>
        </w:rPr>
        <w:t>H</w:t>
      </w:r>
      <w:r>
        <w:rPr>
          <w:vertAlign w:val="subscript"/>
        </w:rPr>
        <w:t>14</w:t>
      </w:r>
      <w:r>
        <w:rPr>
          <w:bCs/>
        </w:rPr>
        <w:t>+11DMCYC</w:t>
      </w:r>
      <w:r>
        <w:rPr>
          <w:vertAlign w:val="subscript"/>
        </w:rPr>
        <w:t>5</w:t>
      </w:r>
      <w:r>
        <w:rPr>
          <w:bCs/>
        </w:rPr>
        <w:t>+c13DMCYC</w:t>
      </w:r>
      <w:r>
        <w:rPr>
          <w:vertAlign w:val="subscript"/>
        </w:rPr>
        <w:t>5</w:t>
      </w:r>
      <w:r>
        <w:rPr>
          <w:bCs/>
        </w:rPr>
        <w:t>+t13DMCYC</w:t>
      </w:r>
      <w:r>
        <w:rPr>
          <w:vertAlign w:val="subscript"/>
        </w:rPr>
        <w:t>5</w:t>
      </w:r>
      <w:r>
        <w:rPr>
          <w:bCs/>
        </w:rPr>
        <w:t>+t12DMCYC</w:t>
      </w:r>
      <w:r>
        <w:rPr>
          <w:vertAlign w:val="subscript"/>
        </w:rPr>
        <w:t>5</w:t>
      </w:r>
      <w:r>
        <w:rPr>
          <w:bCs/>
        </w:rPr>
        <w:t>+ECYC</w:t>
      </w:r>
      <w:r>
        <w:rPr>
          <w:vertAlign w:val="subscript"/>
        </w:rPr>
        <w:t>5</w:t>
      </w:r>
      <w:r>
        <w:rPr>
          <w:bCs/>
        </w:rPr>
        <w:t>+MCYC</w:t>
      </w:r>
      <w:r>
        <w:rPr>
          <w:vertAlign w:val="subscript"/>
        </w:rPr>
        <w:t>6</w:t>
      </w:r>
      <w:r>
        <w:rPr>
          <w:rFonts w:hint="eastAsia"/>
          <w:bCs/>
        </w:rPr>
        <w:t>)</w:t>
      </w:r>
    </w:p>
    <w:p w14:paraId="132546A8">
      <w:pPr>
        <w:ind w:firstLine="480"/>
        <w:rPr>
          <w:snapToGrid w:val="0"/>
        </w:rPr>
      </w:pPr>
      <w:r>
        <w:rPr>
          <w:snapToGrid w:val="0"/>
        </w:rPr>
        <w:t>（3）</w:t>
      </w:r>
      <w:r>
        <w:rPr>
          <w:rFonts w:hint="eastAsia"/>
          <w:snapToGrid w:val="0"/>
        </w:rPr>
        <w:t>水洗及</w:t>
      </w:r>
      <w:r>
        <w:rPr>
          <w:snapToGrid w:val="0"/>
        </w:rPr>
        <w:t>生物降解</w:t>
      </w:r>
      <w:r>
        <w:rPr>
          <w:rFonts w:hint="eastAsia"/>
          <w:snapToGrid w:val="0"/>
        </w:rPr>
        <w:t>作用</w:t>
      </w:r>
      <w:r>
        <w:rPr>
          <w:snapToGrid w:val="0"/>
        </w:rPr>
        <w:t>参数</w:t>
      </w:r>
    </w:p>
    <w:p w14:paraId="1814691C">
      <w:pPr>
        <w:pStyle w:val="6"/>
        <w:ind w:firstLine="480"/>
        <w:rPr>
          <w:snapToGrid w:val="0"/>
        </w:rPr>
      </w:pPr>
      <w:r>
        <w:rPr>
          <w:rFonts w:hint="eastAsia"/>
        </w:rPr>
        <w:t>水洗</w:t>
      </w:r>
      <w:r>
        <w:t>及生物降解作用参数包括：nC</w:t>
      </w:r>
      <w:r>
        <w:rPr>
          <w:vertAlign w:val="subscript"/>
        </w:rPr>
        <w:t>5</w:t>
      </w:r>
      <w:r>
        <w:rPr>
          <w:rFonts w:hint="eastAsia"/>
        </w:rPr>
        <w:t>/（CYC</w:t>
      </w:r>
      <w:r>
        <w:rPr>
          <w:vertAlign w:val="subscript"/>
        </w:rPr>
        <w:t>5</w:t>
      </w:r>
      <w:r>
        <w:t>+MCYC</w:t>
      </w:r>
      <w:r>
        <w:rPr>
          <w:vertAlign w:val="subscript"/>
        </w:rPr>
        <w:t>5</w:t>
      </w:r>
      <w:r>
        <w:t>）</w:t>
      </w:r>
      <w:r>
        <w:rPr>
          <w:rFonts w:hint="eastAsia"/>
        </w:rPr>
        <w:t>，</w:t>
      </w:r>
      <w:r>
        <w:t>nC</w:t>
      </w:r>
      <w:r>
        <w:rPr>
          <w:vertAlign w:val="subscript"/>
        </w:rPr>
        <w:t>6</w:t>
      </w:r>
      <w:r>
        <w:t>/</w:t>
      </w:r>
      <w:r>
        <w:rPr>
          <w:rFonts w:hint="eastAsia"/>
        </w:rPr>
        <w:t>（CYC</w:t>
      </w:r>
      <w:r>
        <w:rPr>
          <w:vertAlign w:val="subscript"/>
        </w:rPr>
        <w:t>6</w:t>
      </w:r>
      <w:r>
        <w:t>+MCYC</w:t>
      </w:r>
      <w:r>
        <w:rPr>
          <w:vertAlign w:val="subscript"/>
        </w:rPr>
        <w:t>6</w:t>
      </w:r>
      <w:r>
        <w:t>）</w:t>
      </w:r>
      <w:r>
        <w:rPr>
          <w:rFonts w:hint="eastAsia"/>
        </w:rPr>
        <w:t>，</w:t>
      </w:r>
      <w:r>
        <w:t>nC</w:t>
      </w:r>
      <w:r>
        <w:rPr>
          <w:vertAlign w:val="subscript"/>
        </w:rPr>
        <w:t>7</w:t>
      </w:r>
      <w:r>
        <w:t>/</w:t>
      </w:r>
      <w:r>
        <w:rPr>
          <w:rFonts w:hint="eastAsia"/>
        </w:rPr>
        <w:t>（DMCYC</w:t>
      </w:r>
      <w:r>
        <w:rPr>
          <w:rFonts w:hint="eastAsia"/>
          <w:vertAlign w:val="subscript"/>
        </w:rPr>
        <w:t>5</w:t>
      </w:r>
      <w:r>
        <w:t>+11DMCYC</w:t>
      </w:r>
      <w:r>
        <w:rPr>
          <w:vertAlign w:val="subscript"/>
        </w:rPr>
        <w:t>5</w:t>
      </w:r>
      <w:r>
        <w:t>）</w:t>
      </w:r>
      <w:r>
        <w:rPr>
          <w:rFonts w:hint="eastAsia"/>
        </w:rPr>
        <w:t>，nC</w:t>
      </w:r>
      <w:r>
        <w:rPr>
          <w:rFonts w:hint="eastAsia"/>
          <w:vertAlign w:val="subscript"/>
        </w:rPr>
        <w:t>4</w:t>
      </w:r>
      <w:r>
        <w:rPr>
          <w:rFonts w:hint="eastAsia"/>
          <w:vertAlign w:val="superscript"/>
        </w:rPr>
        <w:t>+</w:t>
      </w:r>
      <w:r>
        <w:t>/</w:t>
      </w:r>
      <w:r>
        <w:rPr>
          <w:snapToGrid w:val="0"/>
        </w:rPr>
        <w:t>∑CYC</w:t>
      </w:r>
      <w:r>
        <w:rPr>
          <w:rFonts w:hint="eastAsia"/>
          <w:snapToGrid w:val="0"/>
        </w:rPr>
        <w:t>，</w:t>
      </w:r>
      <w:r>
        <w:rPr>
          <w:snapToGrid w:val="0"/>
        </w:rPr>
        <w:t>BZ/nC</w:t>
      </w:r>
      <w:r>
        <w:rPr>
          <w:vertAlign w:val="subscript"/>
        </w:rPr>
        <w:t>6</w:t>
      </w:r>
      <w:r>
        <w:rPr>
          <w:rFonts w:hint="eastAsia"/>
          <w:snapToGrid w:val="0"/>
        </w:rPr>
        <w:t>，BZ</w:t>
      </w:r>
      <w:r>
        <w:rPr>
          <w:snapToGrid w:val="0"/>
        </w:rPr>
        <w:t>/CYC</w:t>
      </w:r>
      <w:r>
        <w:rPr>
          <w:vertAlign w:val="subscript"/>
        </w:rPr>
        <w:t>6</w:t>
      </w:r>
      <w:r>
        <w:rPr>
          <w:rFonts w:hint="eastAsia"/>
          <w:snapToGrid w:val="0"/>
        </w:rPr>
        <w:t>，iC</w:t>
      </w:r>
      <w:r>
        <w:rPr>
          <w:rFonts w:hint="eastAsia"/>
          <w:vertAlign w:val="subscript"/>
        </w:rPr>
        <w:t>6</w:t>
      </w:r>
      <w:r>
        <w:rPr>
          <w:rFonts w:hint="eastAsia"/>
          <w:snapToGrid w:val="0"/>
        </w:rPr>
        <w:t>/</w:t>
      </w:r>
      <w:r>
        <w:rPr>
          <w:snapToGrid w:val="0"/>
        </w:rPr>
        <w:t>CYC</w:t>
      </w:r>
      <w:r>
        <w:rPr>
          <w:vertAlign w:val="subscript"/>
        </w:rPr>
        <w:t>6</w:t>
      </w:r>
      <w:r>
        <w:rPr>
          <w:rFonts w:hint="eastAsia"/>
          <w:snapToGrid w:val="0"/>
        </w:rPr>
        <w:t>，2</w:t>
      </w:r>
      <w:r>
        <w:rPr>
          <w:snapToGrid w:val="0"/>
        </w:rPr>
        <w:t>MC</w:t>
      </w:r>
      <w:r>
        <w:rPr>
          <w:vertAlign w:val="subscript"/>
        </w:rPr>
        <w:t>5</w:t>
      </w:r>
      <w:r>
        <w:rPr>
          <w:snapToGrid w:val="0"/>
        </w:rPr>
        <w:t>/3MC</w:t>
      </w:r>
      <w:r>
        <w:rPr>
          <w:vertAlign w:val="subscript"/>
        </w:rPr>
        <w:t>5</w:t>
      </w:r>
      <w:r>
        <w:rPr>
          <w:rFonts w:hint="eastAsia"/>
          <w:snapToGrid w:val="0"/>
        </w:rPr>
        <w:t>，2</w:t>
      </w:r>
      <w:r>
        <w:rPr>
          <w:snapToGrid w:val="0"/>
        </w:rPr>
        <w:t>MC</w:t>
      </w:r>
      <w:r>
        <w:rPr>
          <w:vertAlign w:val="subscript"/>
        </w:rPr>
        <w:t>6</w:t>
      </w:r>
      <w:r>
        <w:rPr>
          <w:snapToGrid w:val="0"/>
        </w:rPr>
        <w:t>/3MC</w:t>
      </w:r>
      <w:r>
        <w:rPr>
          <w:vertAlign w:val="subscript"/>
        </w:rPr>
        <w:t>6</w:t>
      </w:r>
      <w:r>
        <w:rPr>
          <w:rFonts w:hint="eastAsia"/>
          <w:snapToGrid w:val="0"/>
        </w:rPr>
        <w:t>，</w:t>
      </w:r>
      <w:r>
        <w:rPr>
          <w:snapToGrid w:val="0"/>
        </w:rPr>
        <w:t>TOL/11DMCYC</w:t>
      </w:r>
      <w:r>
        <w:rPr>
          <w:vertAlign w:val="subscript"/>
        </w:rPr>
        <w:t>5</w:t>
      </w:r>
      <w:r>
        <w:rPr>
          <w:rFonts w:hint="eastAsia"/>
          <w:snapToGrid w:val="0"/>
        </w:rPr>
        <w:t>，</w:t>
      </w:r>
      <w:r>
        <w:rPr>
          <w:snapToGrid w:val="0"/>
        </w:rPr>
        <w:t>TOL/MCYC</w:t>
      </w:r>
      <w:r>
        <w:rPr>
          <w:vertAlign w:val="subscript"/>
        </w:rPr>
        <w:t>6</w:t>
      </w:r>
      <w:r>
        <w:rPr>
          <w:rFonts w:hint="eastAsia"/>
          <w:snapToGrid w:val="0"/>
        </w:rPr>
        <w:t>，</w:t>
      </w:r>
      <w:r>
        <w:rPr>
          <w:snapToGrid w:val="0"/>
        </w:rPr>
        <w:t>∑</w:t>
      </w:r>
      <w:r>
        <w:rPr>
          <w:rFonts w:hint="eastAsia"/>
          <w:snapToGrid w:val="0"/>
        </w:rPr>
        <w:t>（n</w:t>
      </w:r>
      <w:r>
        <w:rPr>
          <w:snapToGrid w:val="0"/>
        </w:rPr>
        <w:t>C</w:t>
      </w:r>
      <w:r>
        <w:rPr>
          <w:vertAlign w:val="subscript"/>
        </w:rPr>
        <w:t>4</w:t>
      </w:r>
      <w:r>
        <w:rPr>
          <w:snapToGrid w:val="0"/>
        </w:rPr>
        <w:t>~nC</w:t>
      </w:r>
      <w:r>
        <w:rPr>
          <w:vertAlign w:val="subscript"/>
        </w:rPr>
        <w:t>8</w:t>
      </w:r>
      <w:r>
        <w:rPr>
          <w:snapToGrid w:val="0"/>
        </w:rPr>
        <w:t>）</w:t>
      </w:r>
      <w:r>
        <w:rPr>
          <w:rFonts w:hint="eastAsia"/>
          <w:snapToGrid w:val="0"/>
        </w:rPr>
        <w:t>/</w:t>
      </w:r>
      <w:r>
        <w:rPr>
          <w:snapToGrid w:val="0"/>
        </w:rPr>
        <w:t>∑</w:t>
      </w:r>
      <w:r>
        <w:rPr>
          <w:rFonts w:hint="eastAsia"/>
          <w:snapToGrid w:val="0"/>
        </w:rPr>
        <w:t>（</w:t>
      </w:r>
      <w:r>
        <w:rPr>
          <w:snapToGrid w:val="0"/>
        </w:rPr>
        <w:t>iC</w:t>
      </w:r>
      <w:r>
        <w:rPr>
          <w:vertAlign w:val="subscript"/>
        </w:rPr>
        <w:t>4</w:t>
      </w:r>
      <w:r>
        <w:rPr>
          <w:snapToGrid w:val="0"/>
        </w:rPr>
        <w:t>~iC</w:t>
      </w:r>
      <w:r>
        <w:rPr>
          <w:vertAlign w:val="subscript"/>
        </w:rPr>
        <w:t>8</w:t>
      </w:r>
      <w:r>
        <w:rPr>
          <w:snapToGrid w:val="0"/>
        </w:rPr>
        <w:t>）</w:t>
      </w:r>
      <w:r>
        <w:rPr>
          <w:rFonts w:hint="eastAsia"/>
          <w:snapToGrid w:val="0"/>
        </w:rPr>
        <w:t>，</w:t>
      </w:r>
      <w:r>
        <w:rPr>
          <w:snapToGrid w:val="0"/>
        </w:rPr>
        <w:t>∑</w:t>
      </w:r>
      <w:r>
        <w:rPr>
          <w:rFonts w:hint="eastAsia"/>
          <w:snapToGrid w:val="0"/>
        </w:rPr>
        <w:t>（</w:t>
      </w:r>
      <w:r>
        <w:rPr>
          <w:snapToGrid w:val="0"/>
        </w:rPr>
        <w:t>CYC</w:t>
      </w:r>
      <w:r>
        <w:rPr>
          <w:vertAlign w:val="subscript"/>
        </w:rPr>
        <w:t>4</w:t>
      </w:r>
      <w:r>
        <w:rPr>
          <w:snapToGrid w:val="0"/>
        </w:rPr>
        <w:t>~CYC</w:t>
      </w:r>
      <w:r>
        <w:rPr>
          <w:vertAlign w:val="subscript"/>
        </w:rPr>
        <w:t>8</w:t>
      </w:r>
      <w:r>
        <w:rPr>
          <w:snapToGrid w:val="0"/>
        </w:rPr>
        <w:t>）</w:t>
      </w:r>
      <w:r>
        <w:rPr>
          <w:rFonts w:hint="eastAsia"/>
          <w:snapToGrid w:val="0"/>
        </w:rPr>
        <w:t>/</w:t>
      </w:r>
      <w:r>
        <w:rPr>
          <w:snapToGrid w:val="0"/>
        </w:rPr>
        <w:t>∑</w:t>
      </w:r>
      <w:r>
        <w:rPr>
          <w:rFonts w:hint="eastAsia"/>
          <w:snapToGrid w:val="0"/>
        </w:rPr>
        <w:t>（</w:t>
      </w:r>
      <w:r>
        <w:rPr>
          <w:snapToGrid w:val="0"/>
        </w:rPr>
        <w:t>iC</w:t>
      </w:r>
      <w:r>
        <w:rPr>
          <w:vertAlign w:val="subscript"/>
        </w:rPr>
        <w:t>4</w:t>
      </w:r>
      <w:r>
        <w:rPr>
          <w:snapToGrid w:val="0"/>
        </w:rPr>
        <w:t>~iC</w:t>
      </w:r>
      <w:r>
        <w:rPr>
          <w:vertAlign w:val="subscript"/>
        </w:rPr>
        <w:t>8</w:t>
      </w:r>
      <w:r>
        <w:rPr>
          <w:snapToGrid w:val="0"/>
        </w:rPr>
        <w:t>）</w:t>
      </w:r>
      <w:r>
        <w:rPr>
          <w:rFonts w:hint="eastAsia"/>
          <w:snapToGrid w:val="0"/>
        </w:rPr>
        <w:t>，</w:t>
      </w:r>
      <w:r>
        <w:rPr>
          <w:snapToGrid w:val="0"/>
        </w:rPr>
        <w:t>（</w:t>
      </w:r>
      <w:r>
        <w:rPr>
          <w:rFonts w:hint="eastAsia"/>
          <w:snapToGrid w:val="0"/>
        </w:rPr>
        <w:t>BZ</w:t>
      </w:r>
      <w:r>
        <w:rPr>
          <w:snapToGrid w:val="0"/>
        </w:rPr>
        <w:t>+TOL）</w:t>
      </w:r>
      <w:r>
        <w:rPr>
          <w:rFonts w:hint="eastAsia"/>
          <w:snapToGrid w:val="0"/>
        </w:rPr>
        <w:t>/</w:t>
      </w:r>
      <w:r>
        <w:rPr>
          <w:snapToGrid w:val="0"/>
        </w:rPr>
        <w:t>∑</w:t>
      </w:r>
      <w:r>
        <w:rPr>
          <w:rFonts w:hint="eastAsia"/>
          <w:snapToGrid w:val="0"/>
        </w:rPr>
        <w:t>（</w:t>
      </w:r>
      <w:r>
        <w:rPr>
          <w:snapToGrid w:val="0"/>
        </w:rPr>
        <w:t>CYC</w:t>
      </w:r>
      <w:r>
        <w:rPr>
          <w:vertAlign w:val="subscript"/>
        </w:rPr>
        <w:t>5</w:t>
      </w:r>
      <w:r>
        <w:rPr>
          <w:snapToGrid w:val="0"/>
        </w:rPr>
        <w:t>~CYC</w:t>
      </w:r>
      <w:r>
        <w:rPr>
          <w:vertAlign w:val="subscript"/>
        </w:rPr>
        <w:t>6</w:t>
      </w:r>
      <w:r>
        <w:rPr>
          <w:snapToGrid w:val="0"/>
        </w:rPr>
        <w:t>）</w:t>
      </w:r>
      <w:r>
        <w:rPr>
          <w:rFonts w:hint="eastAsia"/>
          <w:snapToGrid w:val="0"/>
        </w:rPr>
        <w:t>，</w:t>
      </w:r>
      <w:r>
        <w:rPr>
          <w:snapToGrid w:val="0"/>
        </w:rPr>
        <w:t>∑</w:t>
      </w:r>
      <w:r>
        <w:rPr>
          <w:rFonts w:hint="eastAsia"/>
          <w:snapToGrid w:val="0"/>
        </w:rPr>
        <w:t>（</w:t>
      </w:r>
      <w:r>
        <w:rPr>
          <w:snapToGrid w:val="0"/>
        </w:rPr>
        <w:t>CYC</w:t>
      </w:r>
      <w:r>
        <w:rPr>
          <w:vertAlign w:val="subscript"/>
        </w:rPr>
        <w:t>5</w:t>
      </w:r>
      <w:r>
        <w:rPr>
          <w:snapToGrid w:val="0"/>
        </w:rPr>
        <w:t>~CYC</w:t>
      </w:r>
      <w:r>
        <w:rPr>
          <w:vertAlign w:val="subscript"/>
        </w:rPr>
        <w:t>6</w:t>
      </w:r>
      <w:r>
        <w:rPr>
          <w:snapToGrid w:val="0"/>
        </w:rPr>
        <w:t>）</w:t>
      </w:r>
      <w:r>
        <w:rPr>
          <w:rFonts w:hint="eastAsia"/>
          <w:snapToGrid w:val="0"/>
        </w:rPr>
        <w:t>/</w:t>
      </w:r>
      <w:r>
        <w:rPr>
          <w:snapToGrid w:val="0"/>
        </w:rPr>
        <w:t>∑</w:t>
      </w:r>
      <w:r>
        <w:rPr>
          <w:rFonts w:hint="eastAsia"/>
          <w:snapToGrid w:val="0"/>
        </w:rPr>
        <w:t>（n</w:t>
      </w:r>
      <w:r>
        <w:rPr>
          <w:snapToGrid w:val="0"/>
        </w:rPr>
        <w:t>C</w:t>
      </w:r>
      <w:r>
        <w:rPr>
          <w:vertAlign w:val="subscript"/>
        </w:rPr>
        <w:t>5</w:t>
      </w:r>
      <w:r>
        <w:rPr>
          <w:snapToGrid w:val="0"/>
        </w:rPr>
        <w:t>~nC</w:t>
      </w:r>
      <w:r>
        <w:rPr>
          <w:vertAlign w:val="subscript"/>
        </w:rPr>
        <w:t>9</w:t>
      </w:r>
      <w:r>
        <w:rPr>
          <w:rFonts w:hint="eastAsia"/>
          <w:snapToGrid w:val="0"/>
        </w:rPr>
        <w:t>）、</w:t>
      </w:r>
      <w:r>
        <w:rPr>
          <w:snapToGrid w:val="0"/>
        </w:rPr>
        <w:t>K</w:t>
      </w:r>
      <w:r>
        <w:rPr>
          <w:snapToGrid w:val="0"/>
          <w:vertAlign w:val="subscript"/>
        </w:rPr>
        <w:t>1</w:t>
      </w:r>
      <w:r>
        <w:rPr>
          <w:rFonts w:hint="eastAsia"/>
          <w:snapToGrid w:val="0"/>
        </w:rPr>
        <w:t>、</w:t>
      </w:r>
      <w:r>
        <w:rPr>
          <w:snapToGrid w:val="0"/>
        </w:rPr>
        <w:t>K</w:t>
      </w:r>
      <w:r>
        <w:rPr>
          <w:snapToGrid w:val="0"/>
          <w:vertAlign w:val="subscript"/>
        </w:rPr>
        <w:t>2</w:t>
      </w:r>
      <w:r>
        <w:rPr>
          <w:rFonts w:hint="eastAsia"/>
          <w:snapToGrid w:val="0"/>
        </w:rPr>
        <w:t>等</w:t>
      </w:r>
      <w:r>
        <w:rPr>
          <w:snapToGrid w:val="0"/>
        </w:rPr>
        <w:t>。</w:t>
      </w:r>
    </w:p>
    <w:p w14:paraId="621114FC">
      <w:pPr>
        <w:ind w:firstLine="480"/>
        <w:rPr>
          <w:snapToGrid w:val="0"/>
        </w:rPr>
      </w:pPr>
      <w:r>
        <w:rPr>
          <w:snapToGrid w:val="0"/>
        </w:rPr>
        <w:t>（4）</w:t>
      </w:r>
      <w:r>
        <w:rPr>
          <w:rFonts w:hint="eastAsia"/>
          <w:snapToGrid w:val="0"/>
        </w:rPr>
        <w:t>星状图对比参数</w:t>
      </w:r>
    </w:p>
    <w:p w14:paraId="445F0221">
      <w:pPr>
        <w:pStyle w:val="6"/>
        <w:wordWrap w:val="0"/>
        <w:ind w:firstLine="480"/>
      </w:pPr>
      <w:r>
        <w:rPr>
          <w:rFonts w:hint="eastAsia"/>
        </w:rPr>
        <w:t>Ha</w:t>
      </w:r>
      <w:r>
        <w:t>lpem</w:t>
      </w:r>
      <w:r>
        <w:rPr>
          <w:rFonts w:hint="eastAsia"/>
        </w:rPr>
        <w:t>研究</w:t>
      </w:r>
      <w:r>
        <w:t>了</w:t>
      </w:r>
      <w:r>
        <w:rPr>
          <w:rFonts w:hint="eastAsia"/>
        </w:rPr>
        <w:t>17种</w:t>
      </w:r>
      <w:r>
        <w:t>C</w:t>
      </w:r>
      <w:r>
        <w:rPr>
          <w:vertAlign w:val="subscript"/>
        </w:rPr>
        <w:t>7</w:t>
      </w:r>
      <w:r>
        <w:t>轻烃化合物群的地球化学行为，它们各</w:t>
      </w:r>
      <w:r>
        <w:rPr>
          <w:rFonts w:hint="eastAsia"/>
        </w:rPr>
        <w:t>具有</w:t>
      </w:r>
      <w:r>
        <w:t>不同的沸点、水溶性及</w:t>
      </w:r>
      <w:r>
        <w:rPr>
          <w:rFonts w:hint="eastAsia"/>
        </w:rPr>
        <w:t>对于</w:t>
      </w:r>
      <w:r>
        <w:t>微生物</w:t>
      </w:r>
      <w:r>
        <w:rPr>
          <w:rFonts w:hint="eastAsia"/>
        </w:rPr>
        <w:t>吞噬</w:t>
      </w:r>
      <w:r>
        <w:t>的敏感性，</w:t>
      </w:r>
      <w:r>
        <w:rPr>
          <w:rFonts w:hint="eastAsia"/>
        </w:rPr>
        <w:t>以此</w:t>
      </w:r>
      <w:r>
        <w:t>编制</w:t>
      </w:r>
      <w:r>
        <w:rPr>
          <w:rFonts w:hint="eastAsia"/>
        </w:rPr>
        <w:t>原油</w:t>
      </w:r>
      <w:r>
        <w:t>变异星状图用于辨别水洗、微生物降解或热蒸发蚀变作用</w:t>
      </w:r>
      <w:r>
        <w:rPr>
          <w:rFonts w:hint="eastAsia"/>
        </w:rPr>
        <w:t>。星</w:t>
      </w:r>
      <w:r>
        <w:t>状图</w:t>
      </w:r>
      <w:r>
        <w:rPr>
          <w:rFonts w:hint="eastAsia"/>
        </w:rPr>
        <w:t>对比</w:t>
      </w:r>
      <w:r>
        <w:t>参数包括3MC</w:t>
      </w:r>
      <w:r>
        <w:rPr>
          <w:vertAlign w:val="subscript"/>
        </w:rPr>
        <w:t>6</w:t>
      </w:r>
      <w:r>
        <w:t>/11DMCYC</w:t>
      </w:r>
      <w:r>
        <w:rPr>
          <w:vertAlign w:val="subscript"/>
        </w:rPr>
        <w:t>5</w:t>
      </w:r>
      <w:r>
        <w:rPr>
          <w:rFonts w:hint="eastAsia"/>
        </w:rPr>
        <w:t>、</w:t>
      </w:r>
      <w:r>
        <w:t>2MC</w:t>
      </w:r>
      <w:r>
        <w:rPr>
          <w:vertAlign w:val="subscript"/>
        </w:rPr>
        <w:t>6</w:t>
      </w:r>
      <w:r>
        <w:t>/11DMCYC</w:t>
      </w:r>
      <w:r>
        <w:rPr>
          <w:vertAlign w:val="subscript"/>
        </w:rPr>
        <w:t>5</w:t>
      </w:r>
      <w:r>
        <w:rPr>
          <w:rFonts w:hint="eastAsia"/>
        </w:rPr>
        <w:t>、</w:t>
      </w:r>
      <w:r>
        <w:t>(2MC</w:t>
      </w:r>
      <w:r>
        <w:rPr>
          <w:vertAlign w:val="subscript"/>
        </w:rPr>
        <w:t>6</w:t>
      </w:r>
      <w:r>
        <w:t>+3MC</w:t>
      </w:r>
      <w:r>
        <w:rPr>
          <w:vertAlign w:val="subscript"/>
        </w:rPr>
        <w:t>6</w:t>
      </w:r>
      <w:r>
        <w:t>)/11DMCYC</w:t>
      </w:r>
      <w:r>
        <w:rPr>
          <w:vertAlign w:val="subscript"/>
        </w:rPr>
        <w:t>5</w:t>
      </w:r>
      <w:r>
        <w:rPr>
          <w:rFonts w:hint="eastAsia"/>
        </w:rPr>
        <w:t>、</w:t>
      </w:r>
      <w:r>
        <w:t>t12DMCYC</w:t>
      </w:r>
      <w:r>
        <w:rPr>
          <w:vertAlign w:val="subscript"/>
        </w:rPr>
        <w:t>5</w:t>
      </w:r>
      <w:r>
        <w:t>/11DMCYC</w:t>
      </w:r>
      <w:r>
        <w:rPr>
          <w:vertAlign w:val="subscript"/>
        </w:rPr>
        <w:t>5</w:t>
      </w:r>
      <w:r>
        <w:rPr>
          <w:rFonts w:hint="eastAsia"/>
        </w:rPr>
        <w:t>、</w:t>
      </w:r>
      <w:r>
        <w:t>t13DMCYC</w:t>
      </w:r>
      <w:r>
        <w:rPr>
          <w:vertAlign w:val="subscript"/>
        </w:rPr>
        <w:t>5</w:t>
      </w:r>
      <w:r>
        <w:t>/11DMCYC</w:t>
      </w:r>
      <w:r>
        <w:rPr>
          <w:vertAlign w:val="subscript"/>
        </w:rPr>
        <w:t>5</w:t>
      </w:r>
      <w:r>
        <w:rPr>
          <w:rFonts w:hint="eastAsia"/>
        </w:rPr>
        <w:t>、</w:t>
      </w:r>
      <w:r>
        <w:t>(2MC</w:t>
      </w:r>
      <w:r>
        <w:rPr>
          <w:vertAlign w:val="subscript"/>
        </w:rPr>
        <w:t>6</w:t>
      </w:r>
      <w:r>
        <w:t>+3MC</w:t>
      </w:r>
      <w:r>
        <w:rPr>
          <w:vertAlign w:val="subscript"/>
        </w:rPr>
        <w:t>6</w:t>
      </w:r>
      <w:r>
        <w:t>)/(22DMC</w:t>
      </w:r>
      <w:r>
        <w:rPr>
          <w:vertAlign w:val="subscript"/>
        </w:rPr>
        <w:t>5</w:t>
      </w:r>
      <w:r>
        <w:t>+23DMC</w:t>
      </w:r>
      <w:r>
        <w:rPr>
          <w:vertAlign w:val="subscript"/>
        </w:rPr>
        <w:t>5</w:t>
      </w:r>
      <w:r>
        <w:t>+24DMC</w:t>
      </w:r>
      <w:r>
        <w:rPr>
          <w:vertAlign w:val="subscript"/>
        </w:rPr>
        <w:t>5</w:t>
      </w:r>
      <w:r>
        <w:t>+33DMC</w:t>
      </w:r>
      <w:r>
        <w:rPr>
          <w:vertAlign w:val="subscript"/>
        </w:rPr>
        <w:t>5</w:t>
      </w:r>
      <w:r>
        <w:t>)</w:t>
      </w:r>
      <w:r>
        <w:rPr>
          <w:rFonts w:hint="eastAsia"/>
        </w:rPr>
        <w:t>、</w:t>
      </w:r>
      <w:r>
        <w:t>22DMC</w:t>
      </w:r>
      <w:r>
        <w:rPr>
          <w:vertAlign w:val="subscript"/>
        </w:rPr>
        <w:t>5</w:t>
      </w:r>
      <w:r>
        <w:t>/(22DMC</w:t>
      </w:r>
      <w:r>
        <w:rPr>
          <w:vertAlign w:val="subscript"/>
        </w:rPr>
        <w:t>5</w:t>
      </w:r>
      <w:r>
        <w:t>+23DMC</w:t>
      </w:r>
      <w:r>
        <w:rPr>
          <w:vertAlign w:val="subscript"/>
        </w:rPr>
        <w:t>5</w:t>
      </w:r>
      <w:r>
        <w:t>+24DMC</w:t>
      </w:r>
      <w:r>
        <w:rPr>
          <w:vertAlign w:val="subscript"/>
        </w:rPr>
        <w:t>5</w:t>
      </w:r>
      <w:r>
        <w:t>+33DMC</w:t>
      </w:r>
      <w:r>
        <w:rPr>
          <w:vertAlign w:val="subscript"/>
        </w:rPr>
        <w:t>5</w:t>
      </w:r>
      <w:r>
        <w:t>)</w:t>
      </w:r>
      <w:r>
        <w:rPr>
          <w:rFonts w:hint="eastAsia"/>
        </w:rPr>
        <w:t>等</w:t>
      </w:r>
      <w:r>
        <w:t>。</w:t>
      </w:r>
    </w:p>
    <w:p w14:paraId="15ADA6AD">
      <w:pPr>
        <w:numPr>
          <w:ilvl w:val="0"/>
          <w:numId w:val="0"/>
        </w:numPr>
        <w:bidi w:val="0"/>
        <w:ind w:firstLine="482" w:firstLineChars="20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三、气测录井解释油气水标准</w:t>
      </w:r>
    </w:p>
    <w:p w14:paraId="2FB2A93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气测录井是实时检测钻井过程中返出气体（烃类及非烃类）的组成和含量，通过分析气体异常特征来识别油气水层的关键技术。以下是气测录井解释油气水层的主要标准和解释方法：</w:t>
      </w:r>
    </w:p>
    <w:p w14:paraId="7CED8D9C">
      <w:pPr>
        <w:numPr>
          <w:ilvl w:val="0"/>
          <w:numId w:val="0"/>
        </w:numPr>
        <w:bidi w:val="0"/>
        <w:ind w:firstLine="480" w:firstLineChars="20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1）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核心参数与指标</w:t>
      </w:r>
    </w:p>
    <w:p w14:paraId="7074EF3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全烃含量（Total Gas, TG）</w:t>
      </w:r>
    </w:p>
    <w:p w14:paraId="25FFA8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油层：全烃值较高（通常 &gt;5%），且随钻时持续上升或稳定。</w:t>
      </w:r>
    </w:p>
    <w:p w14:paraId="31832E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气层：全烃值极高（可能 &gt;20%），呈快速突增趋势，气体活跃。</w:t>
      </w:r>
    </w:p>
    <w:p w14:paraId="059302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水层：全烃值低（一般 &lt;2%），无明显气体异常。</w:t>
      </w:r>
    </w:p>
    <w:p w14:paraId="76A329CB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烃类组分比值</w:t>
      </w:r>
    </w:p>
    <w:p w14:paraId="6D8134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干燥系数（C1/C2+C3）：</w:t>
      </w:r>
    </w:p>
    <w:p w14:paraId="61425E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油层：C1/(C2+C3) &lt;10（C2+含量高）；</w:t>
      </w:r>
    </w:p>
    <w:p w14:paraId="069D95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气层：C1/(C2+C3) &gt;20（甲烷占比极高）；</w:t>
      </w:r>
    </w:p>
    <w:p w14:paraId="189E7C0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湿气/凝析气层：10-20。</w:t>
      </w:r>
    </w:p>
    <w:p w14:paraId="5A15BB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平衡比（C1/C2 vs. C2/C3）：</w:t>
      </w:r>
    </w:p>
    <w:p w14:paraId="324E7B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油层：C1/C2较低（3-10），C2/C3较高（&gt;2）；</w:t>
      </w:r>
    </w:p>
    <w:p w14:paraId="7F2EE3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气层：C1/C2较高（&gt;15），C2/C3较低（&lt;2）。</w:t>
      </w:r>
    </w:p>
    <w:p w14:paraId="2709E4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后效气与全烃恢复</w:t>
      </w:r>
    </w:p>
    <w:p w14:paraId="03D25E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油层：后效气明显（停钻后气体缓慢释放），全烃恢复曲线平缓。</w:t>
      </w:r>
    </w:p>
    <w:p w14:paraId="3152A9C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气层：后效气强烈且快速释放，全烃迅速恢复至峰值。</w:t>
      </w:r>
    </w:p>
    <w:p w14:paraId="793478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水层：后效气微弱或无，全烃恢复差。</w:t>
      </w:r>
    </w:p>
    <w:p w14:paraId="12ED9086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2）</w:t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典型解释图版与模型</w:t>
      </w:r>
    </w:p>
    <w:p w14:paraId="3CB4B638">
      <w:pPr>
        <w:ind w:firstLine="422" w:firstLineChars="200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1.三角图版法</w:t>
      </w:r>
    </w:p>
    <w:p w14:paraId="140F5C6C">
      <w:pPr>
        <w:ind w:firstLine="422" w:firstLineChars="20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1.1解释方法和原则</w:t>
      </w:r>
    </w:p>
    <w:p w14:paraId="2F979705">
      <w:pPr>
        <w:ind w:firstLine="420" w:firstLineChars="200"/>
      </w:pPr>
      <w:r>
        <w:rPr>
          <w:rFonts w:hint="eastAsia"/>
        </w:rPr>
        <w:t>三角图版法是建立三角形坐标系。三角形坐标系是由</w:t>
      </w:r>
      <w:r>
        <w:t>C</w:t>
      </w:r>
      <w:r>
        <w:rPr>
          <w:vertAlign w:val="subscript"/>
        </w:rPr>
        <w:t>2</w:t>
      </w:r>
      <w:r>
        <w:t>/</w:t>
      </w:r>
      <w:r>
        <w:rPr>
          <w:rFonts w:hint="eastAsia"/>
        </w:rPr>
        <w:t>∑</w:t>
      </w:r>
      <w:r>
        <w:t>C</w:t>
      </w:r>
      <w:r>
        <w:rPr>
          <w:rFonts w:hint="eastAsia"/>
        </w:rPr>
        <w:t>、</w:t>
      </w:r>
      <w:r>
        <w:t>C</w:t>
      </w:r>
      <w:r>
        <w:rPr>
          <w:vertAlign w:val="subscript"/>
        </w:rPr>
        <w:t>3</w:t>
      </w:r>
      <w:r>
        <w:t>/</w:t>
      </w:r>
      <w:r>
        <w:rPr>
          <w:rFonts w:hint="eastAsia"/>
        </w:rPr>
        <w:t>∑</w:t>
      </w:r>
      <w:r>
        <w:t>C</w:t>
      </w:r>
      <w:r>
        <w:rPr>
          <w:rFonts w:hint="eastAsia"/>
        </w:rPr>
        <w:t>、</w:t>
      </w:r>
      <w:r>
        <w:t>nC</w:t>
      </w:r>
      <w:r>
        <w:rPr>
          <w:vertAlign w:val="subscript"/>
        </w:rPr>
        <w:t>4</w:t>
      </w:r>
      <w:r>
        <w:t>/</w:t>
      </w:r>
      <w:r>
        <w:rPr>
          <w:rFonts w:hint="eastAsia"/>
        </w:rPr>
        <w:t>∑</w:t>
      </w:r>
      <w:r>
        <w:t>C</w:t>
      </w:r>
      <w:r>
        <w:rPr>
          <w:rFonts w:hint="eastAsia"/>
        </w:rPr>
        <w:t>三个参数构成，其中∑</w:t>
      </w:r>
      <w:r>
        <w:t>C=C</w:t>
      </w:r>
      <w:r>
        <w:rPr>
          <w:vertAlign w:val="subscript"/>
        </w:rPr>
        <w:t>1</w:t>
      </w:r>
      <w:r>
        <w:rPr>
          <w:rFonts w:hint="eastAsia"/>
        </w:rPr>
        <w:t>＋</w:t>
      </w:r>
      <w:r>
        <w:t>C</w:t>
      </w:r>
      <w:r>
        <w:rPr>
          <w:vertAlign w:val="subscript"/>
        </w:rPr>
        <w:t>2</w:t>
      </w:r>
      <w:r>
        <w:rPr>
          <w:rFonts w:hint="eastAsia"/>
        </w:rPr>
        <w:t>＋</w:t>
      </w:r>
      <w:r>
        <w:t>C</w:t>
      </w:r>
      <w:r>
        <w:rPr>
          <w:vertAlign w:val="subscript"/>
        </w:rPr>
        <w:t>3</w:t>
      </w:r>
      <w:r>
        <w:rPr>
          <w:rFonts w:hint="eastAsia"/>
        </w:rPr>
        <w:t>＋</w:t>
      </w:r>
      <w:r>
        <w:t>C</w:t>
      </w:r>
      <w:r>
        <w:rPr>
          <w:vertAlign w:val="subscript"/>
        </w:rPr>
        <w:t>4</w:t>
      </w:r>
      <w:r>
        <w:rPr>
          <w:rFonts w:hint="eastAsia"/>
        </w:rPr>
        <w:t>。把三个参数的零值作为一个正三角形的三个顶点</w:t>
      </w:r>
      <w:r>
        <w:t>(A</w:t>
      </w:r>
      <w:r>
        <w:rPr>
          <w:rFonts w:hint="eastAsia"/>
        </w:rPr>
        <w:t>、</w:t>
      </w:r>
      <w:r>
        <w:t>B</w:t>
      </w:r>
      <w:r>
        <w:rPr>
          <w:rFonts w:hint="eastAsia"/>
        </w:rPr>
        <w:t>、</w:t>
      </w:r>
      <w:r>
        <w:t>C)</w:t>
      </w:r>
      <w:r>
        <w:rPr>
          <w:rFonts w:hint="eastAsia"/>
        </w:rPr>
        <w:t>，然后，做夹角为</w:t>
      </w:r>
      <w:r>
        <w:t>60</w:t>
      </w:r>
      <w:r>
        <w:rPr>
          <w:rFonts w:hint="eastAsia"/>
        </w:rPr>
        <w:t>°的三组线，分别代表三个参数的不同比值，即建立了三角形的坐标系。</w:t>
      </w:r>
    </w:p>
    <w:p w14:paraId="6589625F">
      <w:pPr>
        <w:ind w:firstLine="420" w:firstLineChars="200"/>
      </w:pPr>
      <w:r>
        <w:rPr>
          <w:rFonts w:hint="eastAsia"/>
        </w:rPr>
        <w:t>分别求得</w:t>
      </w:r>
      <w:r>
        <w:t>C</w:t>
      </w:r>
      <w:r>
        <w:rPr>
          <w:vertAlign w:val="subscript"/>
        </w:rPr>
        <w:t>2</w:t>
      </w:r>
      <w:r>
        <w:t>/</w:t>
      </w:r>
      <w:r>
        <w:rPr>
          <w:rFonts w:hint="eastAsia"/>
        </w:rPr>
        <w:t>∑</w:t>
      </w:r>
      <w:r>
        <w:t>C</w:t>
      </w:r>
      <w:r>
        <w:rPr>
          <w:rFonts w:hint="eastAsia"/>
        </w:rPr>
        <w:t>、</w:t>
      </w:r>
      <w:r>
        <w:t>C</w:t>
      </w:r>
      <w:r>
        <w:rPr>
          <w:vertAlign w:val="subscript"/>
        </w:rPr>
        <w:t>3</w:t>
      </w:r>
      <w:r>
        <w:t>/</w:t>
      </w:r>
      <w:r>
        <w:rPr>
          <w:rFonts w:hint="eastAsia"/>
        </w:rPr>
        <w:t>∑</w:t>
      </w:r>
      <w:r>
        <w:t>C</w:t>
      </w:r>
      <w:r>
        <w:rPr>
          <w:rFonts w:hint="eastAsia"/>
        </w:rPr>
        <w:t>、</w:t>
      </w:r>
      <w:r>
        <w:t>nC</w:t>
      </w:r>
      <w:r>
        <w:rPr>
          <w:vertAlign w:val="subscript"/>
        </w:rPr>
        <w:t>4</w:t>
      </w:r>
      <w:r>
        <w:t>/</w:t>
      </w:r>
      <w:r>
        <w:rPr>
          <w:rFonts w:hint="eastAsia"/>
        </w:rPr>
        <w:t>∑</w:t>
      </w:r>
      <w:r>
        <w:t>C</w:t>
      </w:r>
      <w:r>
        <w:rPr>
          <w:rFonts w:hint="eastAsia"/>
        </w:rPr>
        <w:t>三个比值，根据三个参数比值的大小，分别点在相应的比例线上，然后通过三点位置分别做出相应参数值的平行线，便可以得到另一个三角形，Δ</w:t>
      </w:r>
      <w:r>
        <w:t>A</w:t>
      </w:r>
      <w:r>
        <w:rPr>
          <w:rFonts w:hint="eastAsia"/>
        </w:rPr>
        <w:t>’</w:t>
      </w:r>
      <w:r>
        <w:t>B</w:t>
      </w:r>
      <w:r>
        <w:rPr>
          <w:rFonts w:hint="eastAsia"/>
        </w:rPr>
        <w:t>’</w:t>
      </w:r>
      <w:r>
        <w:t>C</w:t>
      </w:r>
      <w:r>
        <w:rPr>
          <w:rFonts w:hint="eastAsia"/>
        </w:rPr>
        <w:t>’。两个三角形相应顶点连线交于中心点</w:t>
      </w:r>
      <w:r>
        <w:t>M</w:t>
      </w:r>
      <w:r>
        <w:rPr>
          <w:rFonts w:hint="eastAsia"/>
        </w:rPr>
        <w:t>（图，红点所示）。椭圆形区域是根据大量的统计资料而圈定的，它是有产能的划分界限，根据它可以对储集层产能进行评价。</w:t>
      </w:r>
    </w:p>
    <w:p w14:paraId="38C345C3">
      <w:pPr>
        <w:ind w:firstLine="420" w:firstLineChars="200"/>
        <w:rPr>
          <w:rFonts w:hint="eastAsia"/>
        </w:rPr>
      </w:pPr>
    </w:p>
    <w:p w14:paraId="67302478">
      <w:pPr>
        <w:ind w:left="0" w:leftChars="0" w:firstLine="0" w:firstLineChars="0"/>
        <w:jc w:val="center"/>
        <w:rPr>
          <w:rFonts w:ascii="宋体" w:cs="宋体"/>
        </w:rPr>
      </w:pPr>
      <w:r>
        <w:rPr>
          <w:rFonts w:ascii="宋体" w:cs="宋体"/>
        </w:rPr>
        <w:drawing>
          <wp:inline distT="0" distB="0" distL="0" distR="0">
            <wp:extent cx="2238375" cy="1697355"/>
            <wp:effectExtent l="9525" t="9525" r="19050" b="2667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3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973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DC3A92">
      <w:pPr>
        <w:ind w:firstLine="420" w:firstLineChars="200"/>
        <w:jc w:val="center"/>
        <w:rPr>
          <w:rFonts w:ascii="宋体" w:cs="宋体"/>
        </w:rPr>
      </w:pPr>
      <w:r>
        <w:rPr>
          <w:rFonts w:hint="eastAsia" w:ascii="黑体" w:hAnsi="黑体" w:eastAsia="黑体" w:cs="黑体"/>
        </w:rPr>
        <w:t>三角图版</w:t>
      </w:r>
    </w:p>
    <w:p w14:paraId="628FC242">
      <w:pPr>
        <w:ind w:firstLine="420" w:firstLineChars="200"/>
      </w:pPr>
      <w:r>
        <w:rPr>
          <w:rFonts w:hint="eastAsia"/>
        </w:rPr>
        <w:t>根据所得出的三角形的大小，倒正，</w:t>
      </w:r>
      <w:r>
        <w:t>M</w:t>
      </w:r>
      <w:r>
        <w:rPr>
          <w:rFonts w:hint="eastAsia"/>
        </w:rPr>
        <w:t>点的位置，其解释原则如下：</w:t>
      </w:r>
    </w:p>
    <w:p w14:paraId="401C3F7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1）三角形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’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’</w:t>
      </w:r>
      <w:r>
        <w:rPr>
          <w:rFonts w:hint="default"/>
          <w:lang w:val="en-US" w:eastAsia="zh-CN"/>
        </w:rPr>
        <w:t>C</w:t>
      </w:r>
      <w:r>
        <w:rPr>
          <w:rFonts w:hint="eastAsia"/>
          <w:lang w:val="en-US" w:eastAsia="zh-CN"/>
        </w:rPr>
        <w:t>’的大小，以占三角形</w:t>
      </w:r>
      <w:r>
        <w:rPr>
          <w:rFonts w:hint="default"/>
          <w:lang w:val="en-US" w:eastAsia="zh-CN"/>
        </w:rPr>
        <w:t>ABC</w:t>
      </w:r>
      <w:r>
        <w:rPr>
          <w:rFonts w:hint="eastAsia"/>
          <w:lang w:val="en-US" w:eastAsia="zh-CN"/>
        </w:rPr>
        <w:t>的边长的百分数区分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大于</w:t>
      </w:r>
      <w:r>
        <w:rPr>
          <w:rFonts w:hint="default"/>
          <w:lang w:val="en-US" w:eastAsia="zh-CN"/>
        </w:rPr>
        <w:t>75%</w:t>
      </w:r>
      <w:r>
        <w:rPr>
          <w:rFonts w:hint="eastAsia"/>
          <w:lang w:val="en-US" w:eastAsia="zh-CN"/>
        </w:rPr>
        <w:t>为大三角形，</w:t>
      </w:r>
      <w:r>
        <w:rPr>
          <w:rFonts w:hint="default"/>
          <w:lang w:val="en-US" w:eastAsia="zh-CN"/>
        </w:rPr>
        <w:t>25%—75%</w:t>
      </w:r>
      <w:r>
        <w:rPr>
          <w:rFonts w:hint="eastAsia"/>
          <w:lang w:val="en-US" w:eastAsia="zh-CN"/>
        </w:rPr>
        <w:t>为中三角形，小于</w:t>
      </w:r>
      <w:r>
        <w:rPr>
          <w:rFonts w:hint="default"/>
          <w:lang w:val="en-US" w:eastAsia="zh-CN"/>
        </w:rPr>
        <w:t>25</w:t>
      </w:r>
      <w:r>
        <w:rPr>
          <w:rFonts w:hint="eastAsia"/>
          <w:lang w:val="en-US" w:eastAsia="zh-CN"/>
        </w:rPr>
        <w:t>％的为小三角形；三角形的倒正以外三角为准，与外三角形同向者的正；反向者为倒。</w:t>
      </w:r>
    </w:p>
    <w:p w14:paraId="16BB516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2）正三角形解释为气层；倒三角形解释为油层；大三角形，表示气体来自干气层或低油气比油层；小三角形，表示气体来自湿气层或高油气比油层；</w:t>
      </w:r>
    </w:p>
    <w:p w14:paraId="2B2EDDD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</w:t>
      </w:r>
      <w:r>
        <w:rPr>
          <w:rFonts w:hint="default"/>
          <w:lang w:val="en-US" w:eastAsia="zh-CN"/>
        </w:rPr>
        <w:t>M</w:t>
      </w:r>
      <w:r>
        <w:rPr>
          <w:rFonts w:hint="eastAsia"/>
          <w:lang w:val="en-US" w:eastAsia="zh-CN"/>
        </w:rPr>
        <w:t>点落在椭圆形区域内，即认为有生产能力，否则无生产能力。</w:t>
      </w:r>
    </w:p>
    <w:tbl>
      <w:tblPr>
        <w:tblStyle w:val="7"/>
        <w:tblW w:w="79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983"/>
        <w:gridCol w:w="2100"/>
        <w:gridCol w:w="1967"/>
      </w:tblGrid>
      <w:tr w14:paraId="6229A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41684493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烃比值</w:t>
            </w:r>
          </w:p>
        </w:tc>
        <w:tc>
          <w:tcPr>
            <w:tcW w:w="1983" w:type="dxa"/>
          </w:tcPr>
          <w:p w14:paraId="1FBC8544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油</w:t>
            </w:r>
          </w:p>
        </w:tc>
        <w:tc>
          <w:tcPr>
            <w:tcW w:w="2100" w:type="dxa"/>
          </w:tcPr>
          <w:p w14:paraId="27F98107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气</w:t>
            </w:r>
          </w:p>
        </w:tc>
        <w:tc>
          <w:tcPr>
            <w:tcW w:w="1967" w:type="dxa"/>
            <w:tcBorders>
              <w:right w:val="nil"/>
            </w:tcBorders>
          </w:tcPr>
          <w:p w14:paraId="01428051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非生产区</w:t>
            </w:r>
          </w:p>
        </w:tc>
      </w:tr>
      <w:tr w14:paraId="665E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0EB1EE25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/C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983" w:type="dxa"/>
          </w:tcPr>
          <w:p w14:paraId="2DEA0D94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2-15</w:t>
            </w:r>
          </w:p>
        </w:tc>
        <w:tc>
          <w:tcPr>
            <w:tcW w:w="2100" w:type="dxa"/>
          </w:tcPr>
          <w:p w14:paraId="69D8E16F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15-65</w:t>
            </w:r>
          </w:p>
        </w:tc>
        <w:tc>
          <w:tcPr>
            <w:tcW w:w="1967" w:type="dxa"/>
            <w:tcBorders>
              <w:right w:val="nil"/>
            </w:tcBorders>
          </w:tcPr>
          <w:p w14:paraId="655C5987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&lt;2</w:t>
            </w:r>
            <w:r>
              <w:rPr>
                <w:rFonts w:hint="eastAsia" w:ascii="宋体" w:hAnsi="宋体" w:cs="宋体"/>
                <w:sz w:val="21"/>
                <w:szCs w:val="21"/>
              </w:rPr>
              <w:t>或</w:t>
            </w:r>
            <w:r>
              <w:rPr>
                <w:rFonts w:ascii="宋体" w:hAnsi="宋体" w:cs="宋体"/>
                <w:sz w:val="21"/>
                <w:szCs w:val="21"/>
              </w:rPr>
              <w:t>&gt;65</w:t>
            </w:r>
          </w:p>
        </w:tc>
      </w:tr>
      <w:tr w14:paraId="7CBE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09EEADD3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/C</w:t>
            </w:r>
            <w:r>
              <w:rPr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1983" w:type="dxa"/>
          </w:tcPr>
          <w:p w14:paraId="33CD67AF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2-20</w:t>
            </w:r>
          </w:p>
        </w:tc>
        <w:tc>
          <w:tcPr>
            <w:tcW w:w="2100" w:type="dxa"/>
          </w:tcPr>
          <w:p w14:paraId="3F085200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20-100</w:t>
            </w:r>
          </w:p>
        </w:tc>
        <w:tc>
          <w:tcPr>
            <w:tcW w:w="1967" w:type="dxa"/>
            <w:tcBorders>
              <w:right w:val="nil"/>
            </w:tcBorders>
          </w:tcPr>
          <w:p w14:paraId="41DAE60E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&lt;2</w:t>
            </w:r>
            <w:r>
              <w:rPr>
                <w:rFonts w:hint="eastAsia" w:ascii="宋体" w:hAnsi="宋体" w:cs="宋体"/>
                <w:sz w:val="21"/>
                <w:szCs w:val="21"/>
              </w:rPr>
              <w:t>或</w:t>
            </w:r>
            <w:r>
              <w:rPr>
                <w:rFonts w:ascii="宋体" w:hAnsi="宋体" w:cs="宋体"/>
                <w:sz w:val="21"/>
                <w:szCs w:val="21"/>
              </w:rPr>
              <w:t>&gt;100</w:t>
            </w:r>
          </w:p>
        </w:tc>
      </w:tr>
      <w:tr w14:paraId="58AA2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4E98B42E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/C</w:t>
            </w:r>
            <w:r>
              <w:rPr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1983" w:type="dxa"/>
          </w:tcPr>
          <w:p w14:paraId="69F37CD0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2-21</w:t>
            </w:r>
          </w:p>
        </w:tc>
        <w:tc>
          <w:tcPr>
            <w:tcW w:w="2100" w:type="dxa"/>
          </w:tcPr>
          <w:p w14:paraId="486E9206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21-200</w:t>
            </w:r>
          </w:p>
        </w:tc>
        <w:tc>
          <w:tcPr>
            <w:tcW w:w="1967" w:type="dxa"/>
            <w:tcBorders>
              <w:right w:val="nil"/>
            </w:tcBorders>
          </w:tcPr>
          <w:p w14:paraId="5714AE2F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&lt;2</w:t>
            </w:r>
            <w:r>
              <w:rPr>
                <w:rFonts w:hint="eastAsia" w:ascii="宋体" w:hAnsi="宋体" w:cs="宋体"/>
                <w:sz w:val="21"/>
                <w:szCs w:val="21"/>
              </w:rPr>
              <w:t>或</w:t>
            </w:r>
            <w:r>
              <w:rPr>
                <w:rFonts w:ascii="宋体" w:hAnsi="宋体" w:cs="宋体"/>
                <w:sz w:val="21"/>
                <w:szCs w:val="21"/>
              </w:rPr>
              <w:t>&gt;200</w:t>
            </w:r>
          </w:p>
        </w:tc>
      </w:tr>
    </w:tbl>
    <w:p w14:paraId="04E82C76">
      <w:pPr>
        <w:ind w:left="0" w:leftChars="0" w:firstLine="0" w:firstLineChars="0"/>
        <w:jc w:val="center"/>
        <w:rPr>
          <w:rFonts w:hint="eastAsia"/>
          <w:color w:val="000000"/>
        </w:rPr>
      </w:pPr>
    </w:p>
    <w:p w14:paraId="7922542B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三角图版适用于单点分析，不能连续成图，用于组分出至C4以后的储层分析。对深层油气藏或原生油气藏解释效果较好；对次生改造后油气藏，特别是浅层严重生物降解油气藏，解释吻合率较差，且标准图版中关于产能区，对轻-中质油效果较好，对于重质油往往解释为干层。</w:t>
      </w:r>
    </w:p>
    <w:p w14:paraId="00B91F48">
      <w:pPr>
        <w:ind w:firstLine="420"/>
        <w:rPr>
          <w:rFonts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color w:val="000000"/>
          <w:lang w:val="en-US" w:eastAsia="zh-CN"/>
        </w:rPr>
        <w:t>1.2 利用数学方法分析Q值规律，建立解释标准</w:t>
      </w:r>
    </w:p>
    <w:p w14:paraId="3B67ADB4">
      <w:pPr>
        <w:ind w:firstLine="420"/>
        <w:rPr>
          <w:rFonts w:hint="eastAsia"/>
          <w:color w:val="000000"/>
        </w:rPr>
      </w:pPr>
      <w:r>
        <w:rPr>
          <w:rFonts w:hint="eastAsia"/>
          <w:color w:val="000000"/>
        </w:rPr>
        <w:t>将传统三角图版法中三角形的大小、形态转化为参数  Q=1−(C2+C3+nC4)/(0.2∑C)</w:t>
      </w:r>
    </w:p>
    <w:p w14:paraId="16FFAC7C">
      <w:pPr>
        <w:ind w:firstLine="420"/>
        <w:jc w:val="center"/>
      </w:pPr>
      <w:r>
        <w:drawing>
          <wp:inline distT="0" distB="0" distL="114300" distR="114300">
            <wp:extent cx="4003675" cy="1842135"/>
            <wp:effectExtent l="0" t="0" r="15875" b="571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18421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7"/>
        <w:tblW w:w="69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366"/>
        <w:gridCol w:w="2436"/>
      </w:tblGrid>
      <w:tr w14:paraId="7C526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70F30F5F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Q值范围</w:t>
            </w:r>
          </w:p>
        </w:tc>
        <w:tc>
          <w:tcPr>
            <w:tcW w:w="2366" w:type="dxa"/>
          </w:tcPr>
          <w:p w14:paraId="59335A24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内三角形形状</w:t>
            </w:r>
          </w:p>
        </w:tc>
        <w:tc>
          <w:tcPr>
            <w:tcW w:w="2436" w:type="dxa"/>
          </w:tcPr>
          <w:p w14:paraId="27E36140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含油气性质</w:t>
            </w:r>
          </w:p>
        </w:tc>
      </w:tr>
      <w:tr w14:paraId="2A08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4810AA5D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75%～100%</w:t>
            </w:r>
          </w:p>
        </w:tc>
        <w:tc>
          <w:tcPr>
            <w:tcW w:w="2366" w:type="dxa"/>
          </w:tcPr>
          <w:p w14:paraId="4336BA25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大正三角形</w:t>
            </w:r>
          </w:p>
        </w:tc>
        <w:tc>
          <w:tcPr>
            <w:tcW w:w="2436" w:type="dxa"/>
          </w:tcPr>
          <w:p w14:paraId="45379EFF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水或气层</w:t>
            </w:r>
          </w:p>
        </w:tc>
      </w:tr>
      <w:tr w14:paraId="3D40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20415534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25%～75%</w:t>
            </w:r>
          </w:p>
        </w:tc>
        <w:tc>
          <w:tcPr>
            <w:tcW w:w="2366" w:type="dxa"/>
          </w:tcPr>
          <w:p w14:paraId="61870532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中正三角形</w:t>
            </w:r>
          </w:p>
        </w:tc>
        <w:tc>
          <w:tcPr>
            <w:tcW w:w="2436" w:type="dxa"/>
          </w:tcPr>
          <w:p w14:paraId="479A844C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油气层或含油水层</w:t>
            </w:r>
          </w:p>
        </w:tc>
      </w:tr>
      <w:tr w14:paraId="5CC2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641B9A2C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0%～25%</w:t>
            </w:r>
          </w:p>
        </w:tc>
        <w:tc>
          <w:tcPr>
            <w:tcW w:w="2366" w:type="dxa"/>
          </w:tcPr>
          <w:p w14:paraId="44FAF0F2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小正三角形</w:t>
            </w:r>
          </w:p>
        </w:tc>
        <w:tc>
          <w:tcPr>
            <w:tcW w:w="2436" w:type="dxa"/>
          </w:tcPr>
          <w:p w14:paraId="04152031">
            <w:pPr>
              <w:ind w:left="0" w:leftChars="0" w:firstLine="0" w:firstLineChars="0"/>
              <w:jc w:val="center"/>
              <w:rPr>
                <w:rFonts w:hint="default" w:asci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油气转化带</w:t>
            </w:r>
          </w:p>
        </w:tc>
      </w:tr>
      <w:tr w14:paraId="2475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15BCE66C">
            <w:pPr>
              <w:ind w:left="0" w:leftChars="0" w:firstLine="0" w:firstLineChars="0"/>
              <w:jc w:val="center"/>
              <w:rPr>
                <w:rFonts w:hint="default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-25%～0%</w:t>
            </w:r>
          </w:p>
        </w:tc>
        <w:tc>
          <w:tcPr>
            <w:tcW w:w="2366" w:type="dxa"/>
          </w:tcPr>
          <w:p w14:paraId="36192A29">
            <w:pPr>
              <w:ind w:left="0" w:leftChars="0"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小倒三角形</w:t>
            </w:r>
          </w:p>
        </w:tc>
        <w:tc>
          <w:tcPr>
            <w:tcW w:w="2436" w:type="dxa"/>
          </w:tcPr>
          <w:p w14:paraId="330362D1">
            <w:pPr>
              <w:ind w:left="0" w:leftChars="0"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油气转化带</w:t>
            </w:r>
          </w:p>
        </w:tc>
      </w:tr>
      <w:tr w14:paraId="1EBBE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12CFF85C">
            <w:pPr>
              <w:ind w:left="0" w:lef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-25%～-75%</w:t>
            </w:r>
          </w:p>
        </w:tc>
        <w:tc>
          <w:tcPr>
            <w:tcW w:w="2366" w:type="dxa"/>
          </w:tcPr>
          <w:p w14:paraId="5EE393ED">
            <w:pPr>
              <w:ind w:left="0" w:leftChars="0"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中倒三角形</w:t>
            </w:r>
          </w:p>
        </w:tc>
        <w:tc>
          <w:tcPr>
            <w:tcW w:w="2436" w:type="dxa"/>
          </w:tcPr>
          <w:p w14:paraId="7034E5AB">
            <w:pPr>
              <w:ind w:left="0" w:leftChars="0" w:firstLine="0" w:firstLineChars="0"/>
              <w:jc w:val="center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油层（高气油比）</w:t>
            </w:r>
          </w:p>
        </w:tc>
      </w:tr>
      <w:tr w14:paraId="7E0CB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2130" w:type="dxa"/>
            <w:tcBorders>
              <w:left w:val="nil"/>
            </w:tcBorders>
          </w:tcPr>
          <w:p w14:paraId="23AB8163">
            <w:pPr>
              <w:ind w:left="0" w:leftChars="0" w:firstLine="0" w:firstLineChars="0"/>
              <w:jc w:val="center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-75%～-100%</w:t>
            </w:r>
          </w:p>
        </w:tc>
        <w:tc>
          <w:tcPr>
            <w:tcW w:w="2366" w:type="dxa"/>
          </w:tcPr>
          <w:p w14:paraId="0B356676">
            <w:pPr>
              <w:ind w:left="0" w:leftChars="0"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大倒三角形</w:t>
            </w:r>
          </w:p>
        </w:tc>
        <w:tc>
          <w:tcPr>
            <w:tcW w:w="2436" w:type="dxa"/>
          </w:tcPr>
          <w:p w14:paraId="3A0E18FC">
            <w:pPr>
              <w:ind w:left="0" w:leftChars="0"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油层（高气油比）</w:t>
            </w:r>
          </w:p>
        </w:tc>
      </w:tr>
    </w:tbl>
    <w:p w14:paraId="4CDA9EB3">
      <w:pPr>
        <w:ind w:firstLine="420"/>
      </w:pPr>
    </w:p>
    <w:p w14:paraId="6FA88E5D">
      <w:pPr>
        <w:ind w:firstLine="422" w:firstLineChars="200"/>
        <w:rPr>
          <w:rFonts w:hint="eastAsia" w:ascii="黑体" w:hAnsi="黑体" w:eastAsia="黑体" w:cs="黑体"/>
          <w:b/>
          <w:bCs/>
          <w:lang w:val="en-US" w:eastAsia="zh-CN"/>
        </w:rPr>
      </w:pPr>
      <w:bookmarkStart w:id="0" w:name="_Toc216874850"/>
      <w:bookmarkStart w:id="1" w:name="_Toc410738948"/>
      <w:bookmarkStart w:id="2" w:name="_Toc519502926"/>
      <w:r>
        <w:rPr>
          <w:rFonts w:hint="eastAsia" w:ascii="黑体" w:hAnsi="黑体" w:eastAsia="黑体" w:cs="黑体"/>
          <w:b/>
          <w:bCs/>
          <w:lang w:val="en-US" w:eastAsia="zh-CN"/>
        </w:rPr>
        <w:t>2.皮克斯勒</w:t>
      </w:r>
      <w:bookmarkEnd w:id="0"/>
      <w:r>
        <w:rPr>
          <w:rFonts w:hint="eastAsia" w:ascii="黑体" w:hAnsi="黑体" w:eastAsia="黑体" w:cs="黑体"/>
          <w:b/>
          <w:bCs/>
          <w:lang w:val="en-US" w:eastAsia="zh-CN"/>
        </w:rPr>
        <w:t>图版法</w:t>
      </w:r>
      <w:bookmarkEnd w:id="1"/>
      <w:bookmarkEnd w:id="2"/>
    </w:p>
    <w:p w14:paraId="306A8623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2.1经典解释方法和原则</w:t>
      </w:r>
    </w:p>
    <w:p w14:paraId="01A8CC67">
      <w:pPr>
        <w:ind w:firstLine="420"/>
        <w:rPr>
          <w:rFonts w:hint="eastAsia"/>
        </w:rPr>
      </w:pPr>
      <w:r>
        <w:rPr>
          <w:rFonts w:hint="eastAsia"/>
        </w:rPr>
        <w:t>皮克斯勒在上世纪</w:t>
      </w:r>
      <w:r>
        <w:t>60</w:t>
      </w:r>
      <w:r>
        <w:rPr>
          <w:rFonts w:hint="eastAsia"/>
        </w:rPr>
        <w:t>年代末发表了使用烃比值数据判断储集层性质的研究成果，故称之为皮克斯勒图版，此图版研究工业区是美国的德克萨斯州的油田。皮克斯勒图版是根据已知性质的储集层的流体样品资料，将参数</w:t>
      </w:r>
      <w:r>
        <w:t>C</w:t>
      </w:r>
      <w:r>
        <w:rPr>
          <w:vertAlign w:val="subscript"/>
        </w:rPr>
        <w:t>1</w:t>
      </w:r>
      <w:r>
        <w:t>/C</w:t>
      </w:r>
      <w:r>
        <w:rPr>
          <w:vertAlign w:val="subscript"/>
        </w:rPr>
        <w:t>2</w:t>
      </w:r>
      <w:r>
        <w:rPr>
          <w:rFonts w:hint="eastAsia"/>
        </w:rPr>
        <w:t>、</w:t>
      </w:r>
      <w:r>
        <w:t>C</w:t>
      </w:r>
      <w:r>
        <w:rPr>
          <w:vertAlign w:val="subscript"/>
        </w:rPr>
        <w:t>1</w:t>
      </w:r>
      <w:r>
        <w:t>/C</w:t>
      </w:r>
      <w:r>
        <w:rPr>
          <w:vertAlign w:val="subscript"/>
        </w:rPr>
        <w:t>3</w:t>
      </w:r>
      <w:r>
        <w:rPr>
          <w:rFonts w:hint="eastAsia"/>
        </w:rPr>
        <w:t>、</w:t>
      </w:r>
      <w:r>
        <w:t>C</w:t>
      </w:r>
      <w:r>
        <w:rPr>
          <w:vertAlign w:val="subscript"/>
        </w:rPr>
        <w:t>1</w:t>
      </w:r>
      <w:r>
        <w:t>/C</w:t>
      </w:r>
      <w:r>
        <w:rPr>
          <w:vertAlign w:val="subscript"/>
        </w:rPr>
        <w:t>4</w:t>
      </w:r>
      <w:r>
        <w:rPr>
          <w:rFonts w:hint="eastAsia"/>
        </w:rPr>
        <w:t>、</w:t>
      </w:r>
      <w:r>
        <w:t>C</w:t>
      </w:r>
      <w:r>
        <w:rPr>
          <w:vertAlign w:val="subscript"/>
        </w:rPr>
        <w:t>1</w:t>
      </w:r>
      <w:r>
        <w:t>/C</w:t>
      </w:r>
      <w:r>
        <w:rPr>
          <w:vertAlign w:val="subscript"/>
        </w:rPr>
        <w:t>5</w:t>
      </w:r>
      <w:r>
        <w:rPr>
          <w:rFonts w:hint="eastAsia"/>
        </w:rPr>
        <w:t>四个比值绘制在单对数坐标纸上，解释过程中将四个比值连成一条线。图版一般划分为四个区域，上部、下部为无产能区，中部为油区和气区。如</w:t>
      </w:r>
      <w:r>
        <w:rPr>
          <w:rFonts w:hint="eastAsia"/>
          <w:lang w:val="en-US" w:eastAsia="zh-CN"/>
        </w:rPr>
        <w:t>下</w:t>
      </w:r>
      <w:r>
        <w:rPr>
          <w:rFonts w:hint="eastAsia"/>
        </w:rPr>
        <w:t>图所示，根据线段所落区域按照表给出的解释标准判断储集层流体性质，被解释地层的烃比值落在那个区域，该层即为那种流体储集层。</w:t>
      </w:r>
    </w:p>
    <w:p w14:paraId="43B63D2C">
      <w:pPr>
        <w:jc w:val="center"/>
      </w:pPr>
      <w:r>
        <w:drawing>
          <wp:inline distT="0" distB="0" distL="0" distR="0">
            <wp:extent cx="2653665" cy="2737485"/>
            <wp:effectExtent l="0" t="0" r="13335" b="571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9"/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ED3AD">
      <w:pPr>
        <w:pStyle w:val="5"/>
        <w:rPr>
          <w:rFonts w:ascii="宋体" w:cs="华文楷体"/>
          <w:szCs w:val="21"/>
        </w:rPr>
      </w:pPr>
      <w:r>
        <w:rPr>
          <w:rFonts w:hint="eastAsia"/>
        </w:rPr>
        <w:t xml:space="preserve">图 </w:t>
      </w:r>
      <w:r>
        <w:rPr>
          <w:rFonts w:hint="eastAsia" w:ascii="宋体" w:hAnsi="宋体" w:cs="华文楷体"/>
          <w:szCs w:val="21"/>
        </w:rPr>
        <w:t>皮克斯勒解释图版</w:t>
      </w:r>
    </w:p>
    <w:p w14:paraId="09E287A8">
      <w:pPr>
        <w:pStyle w:val="5"/>
      </w:pPr>
      <w:r>
        <w:rPr>
          <w:rFonts w:hint="eastAsia"/>
        </w:rPr>
        <w:t>表 皮克斯勒图版区间划分数值表</w:t>
      </w:r>
    </w:p>
    <w:tbl>
      <w:tblPr>
        <w:tblStyle w:val="7"/>
        <w:tblW w:w="79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6"/>
        <w:gridCol w:w="1983"/>
        <w:gridCol w:w="2100"/>
        <w:gridCol w:w="1967"/>
      </w:tblGrid>
      <w:tr w14:paraId="4B81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527AF59F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烃比值</w:t>
            </w:r>
          </w:p>
        </w:tc>
        <w:tc>
          <w:tcPr>
            <w:tcW w:w="1983" w:type="dxa"/>
          </w:tcPr>
          <w:p w14:paraId="522DBA70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油</w:t>
            </w:r>
          </w:p>
        </w:tc>
        <w:tc>
          <w:tcPr>
            <w:tcW w:w="2100" w:type="dxa"/>
          </w:tcPr>
          <w:p w14:paraId="3F56472F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气</w:t>
            </w:r>
          </w:p>
        </w:tc>
        <w:tc>
          <w:tcPr>
            <w:tcW w:w="1967" w:type="dxa"/>
            <w:tcBorders>
              <w:right w:val="nil"/>
            </w:tcBorders>
          </w:tcPr>
          <w:p w14:paraId="6BF5B083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非生产区</w:t>
            </w:r>
          </w:p>
        </w:tc>
      </w:tr>
      <w:tr w14:paraId="183BE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4064BCE0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/C</w:t>
            </w:r>
            <w:r>
              <w:rPr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1983" w:type="dxa"/>
          </w:tcPr>
          <w:p w14:paraId="73AEBC88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2-15</w:t>
            </w:r>
          </w:p>
        </w:tc>
        <w:tc>
          <w:tcPr>
            <w:tcW w:w="2100" w:type="dxa"/>
          </w:tcPr>
          <w:p w14:paraId="1183A179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15-65</w:t>
            </w:r>
          </w:p>
        </w:tc>
        <w:tc>
          <w:tcPr>
            <w:tcW w:w="1967" w:type="dxa"/>
            <w:tcBorders>
              <w:right w:val="nil"/>
            </w:tcBorders>
          </w:tcPr>
          <w:p w14:paraId="01D66060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&lt;2</w:t>
            </w:r>
            <w:r>
              <w:rPr>
                <w:rFonts w:hint="eastAsia" w:ascii="宋体" w:hAnsi="宋体" w:cs="宋体"/>
                <w:sz w:val="21"/>
                <w:szCs w:val="21"/>
              </w:rPr>
              <w:t>或</w:t>
            </w:r>
            <w:r>
              <w:rPr>
                <w:rFonts w:ascii="宋体" w:hAnsi="宋体" w:cs="宋体"/>
                <w:sz w:val="21"/>
                <w:szCs w:val="21"/>
              </w:rPr>
              <w:t>&gt;65</w:t>
            </w:r>
          </w:p>
        </w:tc>
      </w:tr>
      <w:tr w14:paraId="25FE1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4CF128B1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/C</w:t>
            </w:r>
            <w:r>
              <w:rPr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1983" w:type="dxa"/>
          </w:tcPr>
          <w:p w14:paraId="5AB2EC7C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2-20</w:t>
            </w:r>
          </w:p>
        </w:tc>
        <w:tc>
          <w:tcPr>
            <w:tcW w:w="2100" w:type="dxa"/>
          </w:tcPr>
          <w:p w14:paraId="1D273740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20-100</w:t>
            </w:r>
          </w:p>
        </w:tc>
        <w:tc>
          <w:tcPr>
            <w:tcW w:w="1967" w:type="dxa"/>
            <w:tcBorders>
              <w:right w:val="nil"/>
            </w:tcBorders>
          </w:tcPr>
          <w:p w14:paraId="047F62CD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&lt;2</w:t>
            </w:r>
            <w:r>
              <w:rPr>
                <w:rFonts w:hint="eastAsia" w:ascii="宋体" w:hAnsi="宋体" w:cs="宋体"/>
                <w:sz w:val="21"/>
                <w:szCs w:val="21"/>
              </w:rPr>
              <w:t>或</w:t>
            </w:r>
            <w:r>
              <w:rPr>
                <w:rFonts w:ascii="宋体" w:hAnsi="宋体" w:cs="宋体"/>
                <w:sz w:val="21"/>
                <w:szCs w:val="21"/>
              </w:rPr>
              <w:t>&gt;100</w:t>
            </w:r>
          </w:p>
        </w:tc>
      </w:tr>
      <w:tr w14:paraId="01FD3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  <w:jc w:val="center"/>
        </w:trPr>
        <w:tc>
          <w:tcPr>
            <w:tcW w:w="1886" w:type="dxa"/>
            <w:tcBorders>
              <w:left w:val="nil"/>
            </w:tcBorders>
          </w:tcPr>
          <w:p w14:paraId="1EBB1B7E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sz w:val="21"/>
                <w:szCs w:val="21"/>
              </w:rPr>
              <w:t>/C</w:t>
            </w:r>
            <w:r>
              <w:rPr>
                <w:sz w:val="21"/>
                <w:szCs w:val="21"/>
                <w:vertAlign w:val="subscript"/>
              </w:rPr>
              <w:t>4</w:t>
            </w:r>
          </w:p>
        </w:tc>
        <w:tc>
          <w:tcPr>
            <w:tcW w:w="1983" w:type="dxa"/>
          </w:tcPr>
          <w:p w14:paraId="0B1A76E9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2-21</w:t>
            </w:r>
          </w:p>
        </w:tc>
        <w:tc>
          <w:tcPr>
            <w:tcW w:w="2100" w:type="dxa"/>
          </w:tcPr>
          <w:p w14:paraId="11507CB9">
            <w:pPr>
              <w:ind w:left="0" w:leftChars="0" w:firstLine="0" w:firstLineChars="0"/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21-200</w:t>
            </w:r>
          </w:p>
        </w:tc>
        <w:tc>
          <w:tcPr>
            <w:tcW w:w="1967" w:type="dxa"/>
            <w:tcBorders>
              <w:right w:val="nil"/>
            </w:tcBorders>
          </w:tcPr>
          <w:p w14:paraId="57CD81E6">
            <w:pPr>
              <w:jc w:val="center"/>
              <w:rPr>
                <w:rFonts w:asci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&lt;2</w:t>
            </w:r>
            <w:r>
              <w:rPr>
                <w:rFonts w:hint="eastAsia" w:ascii="宋体" w:hAnsi="宋体" w:cs="宋体"/>
                <w:sz w:val="21"/>
                <w:szCs w:val="21"/>
              </w:rPr>
              <w:t>或</w:t>
            </w:r>
            <w:r>
              <w:rPr>
                <w:rFonts w:ascii="宋体" w:hAnsi="宋体" w:cs="宋体"/>
                <w:sz w:val="21"/>
                <w:szCs w:val="21"/>
              </w:rPr>
              <w:t>&gt;200</w:t>
            </w:r>
          </w:p>
        </w:tc>
      </w:tr>
    </w:tbl>
    <w:p w14:paraId="69A761D3">
      <w:pPr>
        <w:ind w:firstLine="420"/>
        <w:jc w:val="left"/>
        <w:rPr>
          <w:rFonts w:ascii="宋体" w:cs="宋体"/>
        </w:rPr>
      </w:pPr>
      <w:r>
        <w:rPr>
          <w:rFonts w:hint="eastAsia" w:ascii="宋体" w:hAnsi="宋体" w:cs="宋体"/>
        </w:rPr>
        <w:t>此方法的解释规则为：</w:t>
      </w:r>
    </w:p>
    <w:p w14:paraId="5560D7F6">
      <w:pPr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被解释储集层的烃比值落在那个区域，该层即属于该区域的流体性质的储集层。C1/C2值越高，流体含气体越多或油的比重越低，C1/C2小于2为干层；</w:t>
      </w:r>
    </w:p>
    <w:p w14:paraId="7F49CFF4">
      <w:pPr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只有单一组分C1，是干气的显示特征；但过高C1值往往是盐水层的特征。</w:t>
      </w:r>
    </w:p>
    <w:p w14:paraId="4DBBD0CE">
      <w:pPr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C1/C2比值点落在油区底，C1/C4落在气区顶部，该层可能为非生产层；</w:t>
      </w:r>
    </w:p>
    <w:p w14:paraId="394650C5">
      <w:pPr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任一比值低于前一比值，则该层可能为非生产层（混油钻井液时C1/C5外），例如C1/C4低于C1/C3，该层可能为非生产层；</w:t>
      </w:r>
    </w:p>
    <w:p w14:paraId="5995588D">
      <w:pPr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各比值点连线倾斜方向表明储集层是产烃还是产水：正倾斜表示是生产层；负倾斜表示是含水层；</w:t>
      </w:r>
    </w:p>
    <w:p w14:paraId="517301E6">
      <w:pPr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此图版一般不适用于低渗透层（致密层），但比值点连线较陡，可表明该层为致密层。</w:t>
      </w:r>
    </w:p>
    <w:p w14:paraId="441CA4E1">
      <w:pPr>
        <w:ind w:firstLine="420"/>
        <w:jc w:val="left"/>
        <w:rPr>
          <w:rFonts w:ascii="宋体" w:hAnsi="宋体" w:cs="宋体"/>
        </w:rPr>
      </w:pPr>
      <w:r>
        <w:rPr>
          <w:rFonts w:hint="eastAsia" w:ascii="宋体" w:hAnsi="宋体" w:cs="宋体"/>
        </w:rPr>
        <w:t>该图版的</w:t>
      </w:r>
      <w:r>
        <w:rPr>
          <w:rFonts w:hint="eastAsia"/>
        </w:rPr>
        <w:t>优点是计算简单、评价快速、能反应多个参数，但是只适用于组分齐全的未改造油藏，并且要求各个参数的变化要一致性。图用灰色的斜线划分出不同的区块，蓝色线为某储集层的各个组分的投点连线，</w:t>
      </w:r>
      <w:r>
        <w:rPr>
          <w:rFonts w:hint="eastAsia" w:ascii="宋体" w:hAnsi="宋体" w:cs="宋体"/>
        </w:rPr>
        <w:t>此曲线全部落在气区内，可见此储集层为气层。</w:t>
      </w:r>
    </w:p>
    <w:p w14:paraId="6CD7BD53">
      <w:pPr>
        <w:pStyle w:val="12"/>
      </w:pPr>
      <w:r>
        <w:rPr>
          <w:rFonts w:hint="eastAsia"/>
        </w:rPr>
        <w:t>（2）皮克斯勒图版新解释原则</w:t>
      </w:r>
    </w:p>
    <w:p w14:paraId="2B871383">
      <w:pPr>
        <w:rPr>
          <w:bCs/>
        </w:rPr>
      </w:pPr>
      <w:r>
        <w:rPr>
          <w:rFonts w:hint="eastAsia"/>
          <w:bCs/>
        </w:rPr>
        <w:t>修正后的</w:t>
      </w:r>
      <w:r>
        <w:rPr>
          <w:rFonts w:hint="eastAsia"/>
        </w:rPr>
        <w:t>皮克斯勒图版</w:t>
      </w:r>
      <w:r>
        <w:rPr>
          <w:rFonts w:hint="eastAsia"/>
          <w:bCs/>
        </w:rPr>
        <w:t>在渤中凹陷的解释标准如下：</w:t>
      </w:r>
    </w:p>
    <w:p w14:paraId="780453E4">
      <w:pPr>
        <w:numPr>
          <w:ilvl w:val="0"/>
          <w:numId w:val="3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被</w:t>
      </w:r>
      <w:r>
        <w:rPr>
          <w:rFonts w:hint="eastAsia"/>
          <w:lang w:val="en-US" w:eastAsia="zh-CN"/>
        </w:rPr>
        <w:t>解释储集层的烃比值落在那个区内，该层即属于该区流体性质的储集层。C1/C2值越低，说明流体含气越少或者油的密度越高，若C1/C2小于2（或者3，区域不同，阈值不同）为非产层。</w:t>
      </w:r>
    </w:p>
    <w:p w14:paraId="591340B9">
      <w:pPr>
        <w:numPr>
          <w:ilvl w:val="0"/>
          <w:numId w:val="3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只有单一组分的C1显示的层段是干气层的显示特征；较高的单一组分C1显示层，荧光显示较好则是遭受改造油层（受生物降解油藏）的特征。</w:t>
      </w:r>
    </w:p>
    <w:p w14:paraId="52A6CC74">
      <w:pPr>
        <w:numPr>
          <w:ilvl w:val="0"/>
          <w:numId w:val="3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C1/C2比值落在油区内，而C1/C5落在气区内，该层可能为油气层。</w:t>
      </w:r>
    </w:p>
    <w:p w14:paraId="63FE5069">
      <w:pPr>
        <w:numPr>
          <w:ilvl w:val="0"/>
          <w:numId w:val="3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各比值点连线倾斜方向不表明储集层是产烃还是产水：倾斜的方向只是和储集层的烃类性质、油质的轻重有关系，和含水无直接关系。</w:t>
      </w:r>
    </w:p>
    <w:p w14:paraId="2E5FB6EB">
      <w:pPr>
        <w:numPr>
          <w:ilvl w:val="0"/>
          <w:numId w:val="3"/>
        </w:numPr>
        <w:bidi w:val="0"/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皮克斯勒图版不适用于低渗透层，但是若各烃类比值点连线较陡，表明该层为致密层。</w:t>
      </w:r>
    </w:p>
    <w:p w14:paraId="7EF3C938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  <w:lang w:val="en-US" w:eastAsia="zh-CN"/>
        </w:rPr>
        <w:t>气体比值法（Whitesel法）</w:t>
      </w:r>
    </w:p>
    <w:p w14:paraId="7697CFF4">
      <w:pPr>
        <w:pStyle w:val="12"/>
        <w:rPr>
          <w:rFonts w:hint="eastAsia"/>
        </w:rPr>
      </w:pPr>
      <w:r>
        <w:rPr>
          <w:rFonts w:hint="eastAsia"/>
          <w:lang w:val="en-US" w:eastAsia="zh-CN"/>
        </w:rPr>
        <w:t>3.1</w:t>
      </w:r>
      <w:r>
        <w:rPr>
          <w:rFonts w:hint="eastAsia"/>
        </w:rPr>
        <w:t>解释方法和原则</w:t>
      </w:r>
    </w:p>
    <w:p w14:paraId="3911B934">
      <w:pPr>
        <w:ind w:firstLine="480"/>
        <w:rPr>
          <w:rFonts w:ascii="宋体"/>
          <w:color w:val="000000"/>
        </w:rPr>
      </w:pPr>
      <w:r>
        <w:t>3H</w:t>
      </w:r>
      <w:r>
        <w:rPr>
          <w:rFonts w:hint="eastAsia"/>
        </w:rPr>
        <w:t>比值法也叫烃湿度比值法。</w:t>
      </w:r>
      <w:r>
        <w:t>3H</w:t>
      </w:r>
      <w:r>
        <w:rPr>
          <w:rFonts w:hint="eastAsia"/>
        </w:rPr>
        <w:t>比值法可以对采集的气体数据进行实时分析，选择的参数为湿度比（</w:t>
      </w:r>
      <w:r>
        <w:t>WH</w:t>
      </w:r>
      <w:r>
        <w:rPr>
          <w:rFonts w:hint="eastAsia"/>
        </w:rPr>
        <w:t>）、平衡比</w:t>
      </w:r>
      <w:r>
        <w:t>(BH)</w:t>
      </w:r>
      <w:r>
        <w:rPr>
          <w:rFonts w:hint="eastAsia"/>
        </w:rPr>
        <w:t>、特征比</w:t>
      </w:r>
      <w:r>
        <w:t>(CH)</w:t>
      </w:r>
      <w:r>
        <w:rPr>
          <w:rFonts w:hint="eastAsia" w:ascii="宋体" w:hAnsi="宋体"/>
          <w:color w:val="000000"/>
        </w:rPr>
        <w:t>，然后根据三者比值的大小，以及数据的组合方式，综合判断地层含油气水情况。</w:t>
      </w:r>
    </w:p>
    <w:p w14:paraId="77FAD994">
      <w:pPr>
        <w:ind w:firstLine="48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湿度比：</w:t>
      </w:r>
      <w:r>
        <w:rPr>
          <w:rFonts w:ascii="宋体" w:hAnsi="宋体"/>
          <w:color w:val="000000"/>
        </w:rPr>
        <w:t xml:space="preserve">  </w:t>
      </w:r>
      <w:r>
        <w:rPr>
          <w:rFonts w:hint="eastAsia" w:ascii="宋体" w:hAnsi="宋体"/>
          <w:color w:val="000000"/>
          <w:position w:val="-12"/>
        </w:rPr>
        <w:object>
          <v:shape id="_x0000_i1030" o:spt="75" type="#_x0000_t75" style="height:34pt;width:134.8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  </w:t>
      </w:r>
    </w:p>
    <w:p w14:paraId="6D79ECDD">
      <w:pPr>
        <w:ind w:firstLine="480"/>
        <w:jc w:val="left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平衡比：</w:t>
      </w:r>
      <w:r>
        <w:rPr>
          <w:rFonts w:hint="eastAsia" w:ascii="宋体" w:hAnsi="宋体"/>
          <w:color w:val="000000"/>
          <w:position w:val="-10"/>
        </w:rPr>
        <w:object>
          <v:shape id="_x0000_i1031" o:spt="75" type="#_x0000_t75" style="height:16.7pt;width:9.1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hint="eastAsia" w:ascii="宋体" w:hAnsi="宋体"/>
          <w:color w:val="000000"/>
          <w:position w:val="-30"/>
        </w:rPr>
        <w:object>
          <v:shape id="_x0000_i1032" o:spt="75" type="#_x0000_t75" style="height:34pt;width:88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   </w:t>
      </w:r>
    </w:p>
    <w:p w14:paraId="7980BBEA">
      <w:pPr>
        <w:ind w:firstLine="480"/>
        <w:rPr>
          <w:rFonts w:ascii="宋体"/>
          <w:color w:val="000000"/>
        </w:rPr>
      </w:pPr>
      <w:r>
        <w:rPr>
          <w:rFonts w:hint="eastAsia" w:ascii="宋体" w:hAnsi="宋体"/>
          <w:color w:val="000000"/>
        </w:rPr>
        <w:t>特征比：</w:t>
      </w:r>
      <w:r>
        <w:rPr>
          <w:rFonts w:ascii="宋体" w:hAnsi="宋体"/>
          <w:color w:val="000000"/>
        </w:rPr>
        <w:t xml:space="preserve"> </w:t>
      </w:r>
      <w:r>
        <w:rPr>
          <w:rFonts w:hint="eastAsia" w:ascii="宋体" w:hAnsi="宋体"/>
          <w:color w:val="000000"/>
          <w:position w:val="-30"/>
        </w:rPr>
        <w:object>
          <v:shape id="_x0000_i1033" o:spt="75" type="#_x0000_t75" style="height:34pt;width:65.1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/>
          <w:color w:val="000000"/>
        </w:rPr>
        <w:t xml:space="preserve">     </w:t>
      </w:r>
    </w:p>
    <w:p w14:paraId="5AB5F3EC">
      <w:pPr>
        <w:ind w:firstLine="480"/>
        <w:rPr>
          <w:rFonts w:ascii="宋体"/>
          <w:color w:val="000000"/>
        </w:rPr>
      </w:pPr>
      <w:r>
        <w:rPr>
          <w:rFonts w:ascii="宋体" w:hAnsi="宋体"/>
          <w:color w:val="000000"/>
        </w:rPr>
        <w:t>3H</w:t>
      </w:r>
      <w:r>
        <w:rPr>
          <w:rFonts w:hint="eastAsia" w:ascii="宋体" w:hAnsi="宋体"/>
          <w:color w:val="000000"/>
        </w:rPr>
        <w:t>比值法的解释原则如下：</w:t>
      </w:r>
    </w:p>
    <w:p w14:paraId="115B7E94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WH&lt;0.5，为极轻的非伴生气，且产能低；</w:t>
      </w:r>
    </w:p>
    <w:p w14:paraId="7E139F12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0.5&lt;WH&lt;17.5，为可采气。17.5&lt;WH&lt;40，为可采油；</w:t>
      </w:r>
    </w:p>
    <w:p w14:paraId="51CA754B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WH&gt;40，为重油或残余油且产能低；</w:t>
      </w:r>
    </w:p>
    <w:p w14:paraId="5F028C8B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WH&lt;0.5，BH&gt;100，为极轻的干气，几乎无开采价值；</w:t>
      </w:r>
    </w:p>
    <w:p w14:paraId="7FD6A994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0.5&lt;WH&lt;17.5，WH&lt;BH&lt;100，为可采气；0.5&lt;WH&lt;17.5，BH&lt;WH，为可采高气油比的油；</w:t>
      </w:r>
    </w:p>
    <w:p w14:paraId="693480FC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17.5&lt;WH&lt;40，BH&lt;WH，为可采油；17.5&lt;WH&lt;40，BH&lt;&lt;WH，为不可采的残余油；</w:t>
      </w:r>
    </w:p>
    <w:p w14:paraId="1E4524E2">
      <w:pPr>
        <w:numPr>
          <w:ilvl w:val="0"/>
          <w:numId w:val="4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0.5&lt;WH&lt;17.5，BH&lt;WH，CH&lt;0.5，为可采湿气或凝析油，0.5&lt;WH&lt;17.5，BH&lt;WH，CH&gt;0.5，为可采高气油比的油。</w:t>
      </w:r>
    </w:p>
    <w:p w14:paraId="5DA4A3B4">
      <w:pPr>
        <w:ind w:firstLine="420"/>
        <w:jc w:val="left"/>
        <w:rPr>
          <w:bCs/>
          <w:color w:val="000000"/>
        </w:rPr>
      </w:pPr>
      <w:r>
        <w:rPr>
          <w:bCs/>
          <w:color w:val="000000"/>
        </w:rPr>
        <w:t>3H</w:t>
      </w:r>
      <w:r>
        <w:rPr>
          <w:rFonts w:hint="eastAsia"/>
          <w:bCs/>
          <w:color w:val="000000"/>
        </w:rPr>
        <w:t>比值法的突出的优点是可以绘制成连续曲线做直观分析，便于同钻时、全烃以及电测曲线做横向对比。录井可以根据</w:t>
      </w:r>
      <w:r>
        <w:rPr>
          <w:bCs/>
          <w:color w:val="000000"/>
        </w:rPr>
        <w:t>3H</w:t>
      </w:r>
      <w:r>
        <w:rPr>
          <w:rFonts w:hint="eastAsia"/>
          <w:bCs/>
          <w:color w:val="000000"/>
        </w:rPr>
        <w:t>比值法判断储集层流体性质变化和油、气、水界面，亦可以用于指导水平井钻进，一般情况下，</w:t>
      </w:r>
      <w:r>
        <w:rPr>
          <w:bCs/>
          <w:color w:val="000000"/>
        </w:rPr>
        <w:t>WH</w:t>
      </w:r>
      <w:r>
        <w:rPr>
          <w:rFonts w:hint="eastAsia"/>
          <w:bCs/>
          <w:color w:val="000000"/>
        </w:rPr>
        <w:t>和</w:t>
      </w:r>
      <w:r>
        <w:rPr>
          <w:bCs/>
          <w:color w:val="000000"/>
        </w:rPr>
        <w:t>BH</w:t>
      </w:r>
      <w:r>
        <w:rPr>
          <w:rFonts w:hint="eastAsia"/>
          <w:bCs/>
          <w:color w:val="000000"/>
        </w:rPr>
        <w:t>交差为油气界面，</w:t>
      </w:r>
      <w:r>
        <w:rPr>
          <w:bCs/>
          <w:color w:val="000000"/>
        </w:rPr>
        <w:t>WH</w:t>
      </w:r>
      <w:r>
        <w:rPr>
          <w:rFonts w:hint="eastAsia"/>
          <w:bCs/>
          <w:color w:val="000000"/>
        </w:rPr>
        <w:t>和</w:t>
      </w:r>
      <w:r>
        <w:rPr>
          <w:bCs/>
          <w:color w:val="000000"/>
        </w:rPr>
        <w:t>BH</w:t>
      </w:r>
      <w:r>
        <w:rPr>
          <w:rFonts w:hint="eastAsia"/>
          <w:bCs/>
          <w:color w:val="000000"/>
        </w:rPr>
        <w:t>分离为油水界面。</w:t>
      </w:r>
    </w:p>
    <w:p w14:paraId="102913AD">
      <w:pPr>
        <w:ind w:firstLine="420" w:firstLineChars="200"/>
        <w:rPr>
          <w:rFonts w:hint="eastAsia"/>
        </w:rPr>
      </w:pPr>
      <w:r>
        <w:rPr>
          <w:rFonts w:hint="eastAsia"/>
        </w:rPr>
        <w:t>此方法只适合于组分出至C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以后的数据，解释结果多为气层，无法有效区分地层油水层，且解释原则较复杂，在解释过程中适用性较差。根据此次研究的结论，将3H比值法进行了优化，将结论优化为气层、油层、干层。</w:t>
      </w:r>
    </w:p>
    <w:p w14:paraId="30488E69">
      <w:pPr>
        <w:pStyle w:val="12"/>
      </w:pPr>
      <w:r>
        <w:rPr>
          <w:rFonts w:hint="eastAsia"/>
          <w:lang w:val="en-US" w:eastAsia="zh-CN"/>
        </w:rPr>
        <w:t xml:space="preserve">3.2  </w:t>
      </w:r>
      <w:r>
        <w:rPr>
          <w:rFonts w:hint="eastAsia"/>
        </w:rPr>
        <w:t>3H比值法二级构造带解释新原则</w:t>
      </w:r>
    </w:p>
    <w:p w14:paraId="6A8C2B62">
      <w:pPr>
        <w:ind w:firstLine="420" w:firstLineChars="200"/>
      </w:pPr>
      <w:r>
        <w:rPr>
          <w:rFonts w:hint="eastAsia"/>
        </w:rPr>
        <w:t>WH、BH和CH因二级构造带的不同，相应的解释阈值也会有所变化，需要根据解释表中的阈值进行调整解释。根据修改后的结论，将解释原则也进行了简化，新的解释原则如下。</w:t>
      </w:r>
    </w:p>
    <w:p w14:paraId="1E693541">
      <w:pPr>
        <w:numPr>
          <w:ilvl w:val="0"/>
          <w:numId w:val="5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WH&lt;0.5，BH&gt;100，解释结论为干层；</w:t>
      </w:r>
    </w:p>
    <w:p w14:paraId="452CD29C">
      <w:pPr>
        <w:numPr>
          <w:ilvl w:val="0"/>
          <w:numId w:val="5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0.5&lt;WH&lt;12.5，CH&lt;0.6，为可采气，且随着WH数值的变化，气体重组分占比越来越多，向着湿气变化；</w:t>
      </w:r>
    </w:p>
    <w:p w14:paraId="639875E6">
      <w:pPr>
        <w:numPr>
          <w:ilvl w:val="0"/>
          <w:numId w:val="5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12.5&lt;WH&lt;40，CH&gt;0.6为可采油；30&lt;WH&lt;40，储层油质往往较轻；</w:t>
      </w:r>
    </w:p>
    <w:p w14:paraId="49A38492">
      <w:pPr>
        <w:numPr>
          <w:ilvl w:val="0"/>
          <w:numId w:val="5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WH&gt;40，解释结论为干层。</w:t>
      </w:r>
    </w:p>
    <w:p w14:paraId="548F062A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default"/>
          <w:b/>
          <w:bCs/>
          <w:lang w:val="en-US" w:eastAsia="zh-CN"/>
        </w:rPr>
        <w:t>气体比值法（Whitesel法）</w:t>
      </w:r>
    </w:p>
    <w:p w14:paraId="19D89291">
      <w:pPr>
        <w:pStyle w:val="12"/>
        <w:rPr>
          <w:rFonts w:hint="eastAsia"/>
        </w:rPr>
      </w:pPr>
      <w:r>
        <w:rPr>
          <w:rFonts w:hint="eastAsia"/>
        </w:rPr>
        <w:t>解释方法和原则</w:t>
      </w:r>
    </w:p>
    <w:p w14:paraId="33286FE3">
      <w:pPr>
        <w:tabs>
          <w:tab w:val="left" w:pos="0"/>
        </w:tabs>
        <w:ind w:firstLine="472" w:firstLineChars="225"/>
        <w:jc w:val="left"/>
      </w:pPr>
      <w:r>
        <w:t xml:space="preserve">气体比率法又叫做Gadkari气体比率模型，其核心是三个气体组分比值，即轻中比，轻重比和重中比，具体计算公式如下： </w:t>
      </w:r>
    </w:p>
    <w:p w14:paraId="31591E0C">
      <w:pPr>
        <w:tabs>
          <w:tab w:val="left" w:pos="0"/>
        </w:tabs>
        <w:wordWrap w:val="0"/>
        <w:ind w:firstLine="472" w:firstLineChars="225"/>
        <w:jc w:val="left"/>
      </w:pPr>
      <w:r>
        <w:t>轻重比 LH=</w:t>
      </w:r>
      <m:oMath>
        <m:r>
          <m:rPr>
            <m:sty m:val="p"/>
          </m:rPr>
          <w:rPr>
            <w:rFonts w:ascii="Cambria Math" w:hAnsi="Cambria Math"/>
          </w:rPr>
          <m:t xml:space="preserve">  </m:t>
        </m:r>
        <m:f>
          <m:fPr>
            <m:ctrlPr>
              <w:rPr>
                <w:rFonts w:ascii="Cambria Math" w:hAnsi="Cambria Math" w:eastAsia="Arial Unicode M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Arial Unicode MS"/>
              </w:rPr>
              <m:t>100∗(</m:t>
            </m:r>
            <m:sSub>
              <m:sSubPr>
                <m:ctrlPr>
                  <w:rPr>
                    <w:rFonts w:ascii="Cambria Math" w:hAnsi="Cambria Math" w:eastAsia="Arial Unicode MS"/>
                    <w:b w:val="0"/>
                    <w:i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Arial Unicode MS"/>
                    <w:lang w:val="en-US" w:eastAsia="zh-CN"/>
                  </w:rPr>
                  <m:t>C</m:t>
                </m:r>
                <m:ctrlPr>
                  <w:rPr>
                    <w:rFonts w:ascii="Cambria Math" w:hAnsi="Cambria Math" w:eastAsia="Arial Unicode MS"/>
                    <w:b w:val="0"/>
                    <w:i w:val="0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Arial Unicode MS"/>
                    <w:lang w:val="en-US" w:eastAsia="zh-CN"/>
                  </w:rPr>
                  <m:t>1</m:t>
                </m:r>
                <m:ctrlPr>
                  <w:rPr>
                    <w:rFonts w:ascii="Cambria Math" w:hAnsi="Cambria Math" w:eastAsia="Arial Unicode MS"/>
                    <w:b w:val="0"/>
                    <w:i w:val="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Arial Unicode MS"/>
              </w:rPr>
              <m:t>+</m:t>
            </m:r>
            <m:sSub>
              <m:sSubPr>
                <m:ctrlPr>
                  <w:rPr>
                    <w:rFonts w:ascii="Cambria Math" w:hAnsi="Cambria Math" w:eastAsia="Arial Unicode MS"/>
                    <w:b w:val="0"/>
                    <w:i w:val="0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Arial Unicode MS"/>
                    <w:lang w:val="en-US" w:eastAsia="zh-CN"/>
                  </w:rPr>
                  <m:t>C</m:t>
                </m:r>
                <m:ctrlPr>
                  <w:rPr>
                    <w:rFonts w:ascii="Cambria Math" w:hAnsi="Cambria Math" w:eastAsia="Arial Unicode MS"/>
                    <w:b w:val="0"/>
                    <w:i w:val="0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Arial Unicode MS"/>
                    <w:lang w:val="en-US" w:eastAsia="zh-CN"/>
                  </w:rPr>
                  <m:t>2</m:t>
                </m:r>
                <m:ctrlPr>
                  <w:rPr>
                    <w:rFonts w:ascii="Cambria Math" w:hAnsi="Cambria Math" w:eastAsia="Arial Unicode MS"/>
                    <w:b w:val="0"/>
                    <w:i w:val="0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Arial Unicode MS"/>
              </w:rPr>
              <m:t>)</m:t>
            </m:r>
            <m:ctrlPr>
              <w:rPr>
                <w:rFonts w:ascii="Cambria Math" w:hAnsi="Cambria Math" w:eastAsia="Arial Unicode MS"/>
              </w:rPr>
            </m:ctrlPr>
          </m:num>
          <m:den>
            <m:sSup>
              <m:sSupPr>
                <m:ctrlPr>
                  <w:rPr>
                    <w:rFonts w:ascii="Cambria Math" w:hAnsi="Cambria Math" w:eastAsia="Arial Unicode M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Arial Unicode M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Arial Unicode MS"/>
                        <w:b w:val="0"/>
                        <w:i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Arial Unicode MS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 w:eastAsia="Arial Unicode MS"/>
                        <w:b w:val="0"/>
                        <w:i w:val="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Arial Unicode MS"/>
                        <w:lang w:val="en-US" w:eastAsia="zh-CN"/>
                      </w:rPr>
                      <m:t>4</m:t>
                    </m:r>
                    <m:ctrlPr>
                      <w:rPr>
                        <w:rFonts w:ascii="Cambria Math" w:hAnsi="Cambria Math" w:eastAsia="Arial Unicode MS"/>
                        <w:b w:val="0"/>
                        <w:i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Arial Unicode M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eastAsia="Arial Unicode MS"/>
                        <w:b w:val="0"/>
                        <w:i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Arial Unicode MS"/>
                        <w:lang w:val="en-US" w:eastAsia="zh-CN"/>
                      </w:rPr>
                      <m:t>C</m:t>
                    </m:r>
                    <m:ctrlPr>
                      <w:rPr>
                        <w:rFonts w:ascii="Cambria Math" w:hAnsi="Cambria Math" w:eastAsia="Arial Unicode MS"/>
                        <w:b w:val="0"/>
                        <w:i w:val="0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Arial Unicode MS"/>
                        <w:lang w:val="en-US" w:eastAsia="zh-CN"/>
                      </w:rPr>
                      <m:t>5</m:t>
                    </m:r>
                    <m:ctrlPr>
                      <w:rPr>
                        <w:rFonts w:ascii="Cambria Math" w:hAnsi="Cambria Math" w:eastAsia="Arial Unicode MS"/>
                        <w:b w:val="0"/>
                        <w:i w:val="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 w:eastAsia="Arial Unicode MS"/>
                  </w:rPr>
                  <m:t>)</m:t>
                </m:r>
                <m:ctrlPr>
                  <w:rPr>
                    <w:rFonts w:ascii="Cambria Math" w:hAnsi="Cambria Math" w:eastAsia="Arial Unicode MS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 w:eastAsia="Arial Unicode MS"/>
                  </w:rPr>
                  <m:t>3</m:t>
                </m:r>
                <m:ctrlPr>
                  <w:rPr>
                    <w:rFonts w:ascii="Cambria Math" w:hAnsi="Cambria Math" w:eastAsia="Arial Unicode MS"/>
                  </w:rPr>
                </m:ctrlPr>
              </m:sup>
            </m:sSup>
            <m:ctrlPr>
              <w:rPr>
                <w:rFonts w:ascii="Cambria Math" w:hAnsi="Cambria Math" w:eastAsia="Arial Unicode MS"/>
              </w:rPr>
            </m:ctrlPr>
          </m:den>
        </m:f>
      </m:oMath>
    </w:p>
    <w:p w14:paraId="42E2903F">
      <w:pPr>
        <w:tabs>
          <w:tab w:val="left" w:pos="0"/>
        </w:tabs>
        <w:wordWrap w:val="0"/>
        <w:ind w:firstLine="472" w:firstLineChars="225"/>
        <w:jc w:val="left"/>
      </w:pPr>
      <w:r>
        <w:t xml:space="preserve">轻中比 LM=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10∗C1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(C2+C3)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</w:p>
    <w:p w14:paraId="08C48B38">
      <w:pPr>
        <w:jc w:val="left"/>
      </w:pPr>
      <w:r>
        <w:t xml:space="preserve">重中比 HM=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(C4+C5)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C3</m:t>
            </m:r>
            <m:ctrlPr>
              <w:rPr>
                <w:rFonts w:ascii="Cambria Math" w:hAnsi="Cambria Math"/>
              </w:rPr>
            </m:ctrlPr>
          </m:den>
        </m:f>
      </m:oMath>
    </w:p>
    <w:p w14:paraId="771D9E02">
      <w:pPr>
        <w:tabs>
          <w:tab w:val="left" w:pos="0"/>
        </w:tabs>
        <w:ind w:firstLine="472" w:firstLineChars="225"/>
        <w:jc w:val="left"/>
      </w:pPr>
      <w:r>
        <w:t>解释原则如下：</w:t>
      </w:r>
    </w:p>
    <w:p w14:paraId="4643BB8C">
      <w:pPr>
        <w:numPr>
          <w:ilvl w:val="0"/>
          <w:numId w:val="6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当无重组分时，HM＝0，LH 无意义，此时的气体异常为干气；</w:t>
      </w:r>
    </w:p>
    <w:p w14:paraId="2F7EB769">
      <w:pPr>
        <w:numPr>
          <w:ilvl w:val="0"/>
          <w:numId w:val="6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HM 小幅上升， LH、LM 快速下降，LM 较LH 幅度明显大，是湿气特征；</w:t>
      </w:r>
    </w:p>
    <w:p w14:paraId="2B4F10E9">
      <w:pPr>
        <w:numPr>
          <w:ilvl w:val="0"/>
          <w:numId w:val="6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HM 大幅上升， LH、LM 快速下降，且LM、LH 幅度接近，是油层特征；</w:t>
      </w:r>
    </w:p>
    <w:p w14:paraId="1348855A">
      <w:pPr>
        <w:numPr>
          <w:ilvl w:val="0"/>
          <w:numId w:val="6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在储集层里，HM 下降， LH、LM 上升，是水层特征，并且可据此确定油水界面。</w:t>
      </w:r>
    </w:p>
    <w:p w14:paraId="40652052">
      <w:pPr>
        <w:tabs>
          <w:tab w:val="left" w:pos="0"/>
        </w:tabs>
        <w:ind w:firstLine="472" w:firstLineChars="225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轻重比率模型特点是可连续成图，能非常直观地显示油气层的特征，</w:t>
      </w:r>
      <w:r>
        <w:rPr>
          <w:rFonts w:hint="eastAsia" w:asciiTheme="minorHAnsi" w:hAnsiTheme="minorHAnsi" w:cstheme="minorHAnsi"/>
        </w:rPr>
        <w:t>但是很多储层</w:t>
      </w:r>
      <w:r>
        <w:rPr>
          <w:rFonts w:asciiTheme="minorHAnsi" w:hAnsiTheme="minorHAnsi" w:cstheme="minorHAnsi"/>
        </w:rPr>
        <w:t>数值变化范围</w:t>
      </w:r>
      <w:r>
        <w:rPr>
          <w:rFonts w:hint="eastAsia" w:asciiTheme="minorHAnsi" w:hAnsiTheme="minorHAnsi" w:cstheme="minorHAnsi"/>
        </w:rPr>
        <w:t>较大</w:t>
      </w:r>
      <w:r>
        <w:rPr>
          <w:rFonts w:asciiTheme="minorHAnsi" w:hAnsiTheme="minorHAnsi" w:cstheme="minorHAnsi"/>
        </w:rPr>
        <w:t>，深浅层位比例尺范围差异较大。</w:t>
      </w:r>
      <w:r>
        <w:rPr>
          <w:rFonts w:hint="eastAsia" w:asciiTheme="minorHAnsi" w:hAnsiTheme="minorHAnsi" w:cstheme="minorHAnsi"/>
        </w:rPr>
        <w:t>用气体比率法解释评价油气水层，主要判断标准是曲线形态的变化情况及曲线是否交汇。实际操作中坐标刻度的变动直接决定曲线交汇与否。为减少人为因素影响，统一判别标准，以及实现曲线的计算机识别，必须使用规范、固定的比例尺刻度。通过对各个二级构造的储层。</w:t>
      </w:r>
    </w:p>
    <w:p w14:paraId="5E0F4B8A">
      <w:p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5.特征参数异常倍数法</w:t>
      </w:r>
    </w:p>
    <w:p w14:paraId="3B2D3F4C">
      <w:pPr>
        <w:ind w:firstLine="434" w:firstLineChars="207"/>
      </w:pPr>
      <w:r>
        <w:rPr>
          <w:rFonts w:hint="eastAsia"/>
        </w:rPr>
        <w:t>异常倍数作为相对量，反映的是全烃和组分与背景值相比较异常幅度的大小，异常幅度越大，说明异常越明显，储层内含油气的可能性越高。因此，用异常倍数作为判断油气水的一个指标，可以弥补单纯使用储层内参数的不足。在使用的统计过程中发现，一般情况下油层全烃异常倍数大于5倍，水层异常倍数小于3倍，所以对于含油水层（油水同层）的阈值确定也有了标准，弥补了其他录井解释方法对于含油水层（油水同层）解释的空白，更符合实际的现场作业需求。</w:t>
      </w:r>
    </w:p>
    <w:p w14:paraId="51E20B18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5.1</w:t>
      </w:r>
      <w:r>
        <w:rPr>
          <w:rFonts w:hint="eastAsia"/>
          <w:b/>
          <w:bCs/>
        </w:rPr>
        <w:t>参数定义和解释流程</w:t>
      </w:r>
    </w:p>
    <w:p w14:paraId="67D0724E">
      <w:pPr>
        <w:pStyle w:val="12"/>
      </w:pPr>
      <w:r>
        <w:rPr>
          <w:rFonts w:hint="eastAsia"/>
        </w:rPr>
        <w:t>（1）特征参数优选</w:t>
      </w:r>
    </w:p>
    <w:p w14:paraId="42BE0B54">
      <w:pPr>
        <w:ind w:firstLine="434" w:firstLineChars="207"/>
      </w:pPr>
      <w:r>
        <w:rPr>
          <w:rFonts w:hint="eastAsia"/>
        </w:rPr>
        <w:t>此次项目通过对375口井的测、井资料对比，对7576层储层进行了统计分析。对收集到的参数进行优化选择，收集到的参数包括储层层位、井深、厚度、岩性、含油产状、荧光面积、荧光级别全烃、组分（甲烷、乙烷、丙烷、异丁烷、正丁烷、异戊烷、正戊烷）、以及各个气体全烃和组分的基值等数据，优选出荧光面积、C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%、Tg（全烃）、C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（甲烷）、iC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（异丁烷）、nC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（正丁烷）、iC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（异戊烷）、nC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（正戊烷）、Tg（全烃）异常倍数、C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（甲烷）异常倍数、iC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（异丁烷）异常倍数、nC</w:t>
      </w:r>
      <w:r>
        <w:rPr>
          <w:rFonts w:hint="eastAsia"/>
          <w:vertAlign w:val="subscript"/>
        </w:rPr>
        <w:t>4</w:t>
      </w:r>
      <w:r>
        <w:rPr>
          <w:rFonts w:hint="eastAsia"/>
        </w:rPr>
        <w:t>（正丁烷）异常倍数、iC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（异戊烷）异常倍数、nC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（正戊烷）异常倍数来作为解释评价的参数，研究这些特征参数，对我们解释评价油气水层有着重要意义。</w:t>
      </w:r>
    </w:p>
    <w:p w14:paraId="0FC56C10">
      <w:pPr>
        <w:pStyle w:val="12"/>
      </w:pPr>
      <w:r>
        <w:rPr>
          <w:rFonts w:hint="eastAsia"/>
        </w:rPr>
        <w:t>（2）特征参数异常倍数法参数定义</w:t>
      </w:r>
    </w:p>
    <w:p w14:paraId="23CF4D6C">
      <w:pPr>
        <w:ind w:firstLine="420"/>
      </w:pPr>
      <w:r>
        <w:rPr>
          <w:rFonts w:hint="eastAsia"/>
        </w:rPr>
        <w:t>特征参数异常倍数通过计算储集层内气体组分和其对应背景值（也叫基值）的变化来综合评价解释油气层，考虑到上覆地层和储集层烃类变化情况，反应的是盖层的好坏和储集层内烃类的丰度。</w:t>
      </w:r>
    </w:p>
    <w:p w14:paraId="62D9F722">
      <w:pPr>
        <w:ind w:firstLine="420" w:firstLineChars="200"/>
      </w:pPr>
      <w:r>
        <w:rPr>
          <w:lang w:val="fr-FR"/>
        </w:rPr>
        <w:t>背景值（Bg）：取离异常显示储集层上部最近的一段厚度大于5m的非储集层（一般为泥岩），其各气测组分的平均值作为基准背景值；</w:t>
      </w:r>
      <w:r>
        <w:t>并对非零但低于0.001%值的赋值为0.001%标准化归一处理。</w:t>
      </w:r>
    </w:p>
    <w:p w14:paraId="5EEAB774">
      <w:pPr>
        <w:ind w:firstLine="420" w:firstLineChars="200"/>
        <w:rPr>
          <w:lang w:val="fr-FR"/>
        </w:rPr>
      </w:pPr>
      <w:r>
        <w:t>储集层代表值（Fg）：储集层内，会有出现多个深度的气测数值点，对于标准值的选择为C</w:t>
      </w:r>
      <w:r>
        <w:rPr>
          <w:vertAlign w:val="subscript"/>
        </w:rPr>
        <w:t>1</w:t>
      </w:r>
      <w:r>
        <w:t>-C</w:t>
      </w:r>
      <w:r>
        <w:rPr>
          <w:vertAlign w:val="subscript"/>
        </w:rPr>
        <w:t>5</w:t>
      </w:r>
      <w:r>
        <w:t>范围轻组分取</w:t>
      </w:r>
      <w:r>
        <w:rPr>
          <w:lang w:val="fr-FR"/>
        </w:rPr>
        <w:t>C</w:t>
      </w:r>
      <w:r>
        <w:rPr>
          <w:vertAlign w:val="subscript"/>
          <w:lang w:val="fr-FR"/>
        </w:rPr>
        <w:t>1</w:t>
      </w:r>
      <w:r>
        <w:t>最大值的一组数据，</w:t>
      </w:r>
      <w:r>
        <w:rPr>
          <w:lang w:val="fr-FR"/>
        </w:rPr>
        <w:t>作为异常显示层气测代表数据。</w:t>
      </w:r>
    </w:p>
    <w:p w14:paraId="6D8CD0C1">
      <w:pPr>
        <w:ind w:firstLine="420" w:firstLineChars="200"/>
        <w:jc w:val="left"/>
        <w:rPr>
          <w:lang w:val="fr-FR"/>
        </w:rPr>
      </w:pPr>
      <w:r>
        <w:rPr>
          <w:lang w:val="fr-FR"/>
        </w:rPr>
        <w:t>各组分异常倍数 =</w:t>
      </w:r>
      <w:r>
        <w:rPr>
          <w:rFonts w:hint="eastAsia"/>
          <w:lang w:val="fr-FR"/>
        </w:rPr>
        <w:t xml:space="preserve"> F</w:t>
      </w:r>
      <w:r>
        <w:rPr>
          <w:lang w:val="fr-FR"/>
        </w:rPr>
        <w:t>g/</w:t>
      </w:r>
      <w:r>
        <w:rPr>
          <w:rFonts w:hint="eastAsia"/>
          <w:lang w:val="fr-FR"/>
        </w:rPr>
        <w:t>B</w:t>
      </w:r>
      <w:r>
        <w:rPr>
          <w:lang w:val="fr-FR"/>
        </w:rPr>
        <w:t>g</w:t>
      </w:r>
    </w:p>
    <w:p w14:paraId="4E31605E">
      <w:pPr>
        <w:ind w:firstLine="420" w:firstLineChars="200"/>
        <w:rPr>
          <w:lang w:val="fr-FR"/>
        </w:rPr>
      </w:pPr>
      <w:r>
        <w:rPr>
          <w:lang w:val="fr-FR"/>
        </w:rPr>
        <w:t>Bg：非储集层背景值，单位：%</w:t>
      </w:r>
    </w:p>
    <w:p w14:paraId="574AD17C">
      <w:pPr>
        <w:ind w:firstLine="420" w:firstLineChars="200"/>
        <w:rPr>
          <w:lang w:val="fr-FR"/>
        </w:rPr>
      </w:pPr>
      <w:r>
        <w:rPr>
          <w:lang w:val="fr-FR"/>
        </w:rPr>
        <w:t>Fg：储集层代表值，单位：%</w:t>
      </w:r>
    </w:p>
    <w:p w14:paraId="6C536BFE">
      <w:pPr>
        <w:ind w:firstLine="420" w:firstLineChars="200"/>
        <w:rPr>
          <w:lang w:val="fr-FR"/>
        </w:rPr>
      </w:pPr>
      <w:r>
        <w:rPr>
          <w:lang w:val="fr-FR"/>
        </w:rPr>
        <w:t>在此方法中还涉及一个衍生计算参数C</w:t>
      </w:r>
      <w:r>
        <w:rPr>
          <w:vertAlign w:val="subscript"/>
          <w:lang w:val="fr-FR"/>
        </w:rPr>
        <w:t>1</w:t>
      </w:r>
      <w:r>
        <w:rPr>
          <w:lang w:val="fr-FR"/>
        </w:rPr>
        <w:t>%，用于评价气层，其具体定义如下：</w:t>
      </w:r>
    </w:p>
    <w:p w14:paraId="5762E955">
      <w:pPr>
        <w:ind w:firstLine="420" w:firstLineChars="200"/>
        <w:rPr>
          <w:lang w:val="fr-FR"/>
        </w:rPr>
      </w:pPr>
      <w:r>
        <w:rPr>
          <w:lang w:val="fr-FR"/>
        </w:rPr>
        <w:t>C</w:t>
      </w:r>
      <w:r>
        <w:rPr>
          <w:vertAlign w:val="subscript"/>
          <w:lang w:val="fr-FR"/>
        </w:rPr>
        <w:t>1</w:t>
      </w:r>
      <w:r>
        <w:rPr>
          <w:lang w:val="fr-FR"/>
        </w:rPr>
        <w:t>%=C</w:t>
      </w:r>
      <w:r>
        <w:rPr>
          <w:vertAlign w:val="subscript"/>
          <w:lang w:val="fr-FR"/>
        </w:rPr>
        <w:t>1</w:t>
      </w:r>
      <w:r>
        <w:rPr>
          <w:lang w:val="fr-FR"/>
        </w:rPr>
        <w:t>/(C</w:t>
      </w:r>
      <w:r>
        <w:rPr>
          <w:vertAlign w:val="subscript"/>
          <w:lang w:val="fr-FR"/>
        </w:rPr>
        <w:t>1</w:t>
      </w:r>
      <w:r>
        <w:rPr>
          <w:lang w:val="fr-FR"/>
        </w:rPr>
        <w:t>+C</w:t>
      </w:r>
      <w:r>
        <w:rPr>
          <w:vertAlign w:val="subscript"/>
          <w:lang w:val="fr-FR"/>
        </w:rPr>
        <w:t>2</w:t>
      </w:r>
      <w:r>
        <w:rPr>
          <w:lang w:val="fr-FR"/>
        </w:rPr>
        <w:t>+C</w:t>
      </w:r>
      <w:r>
        <w:rPr>
          <w:vertAlign w:val="subscript"/>
          <w:lang w:val="fr-FR"/>
        </w:rPr>
        <w:t>3</w:t>
      </w:r>
      <w:r>
        <w:rPr>
          <w:lang w:val="fr-FR"/>
        </w:rPr>
        <w:t>+iC</w:t>
      </w:r>
      <w:r>
        <w:rPr>
          <w:vertAlign w:val="subscript"/>
          <w:lang w:val="fr-FR"/>
        </w:rPr>
        <w:t>4</w:t>
      </w:r>
      <w:r>
        <w:rPr>
          <w:lang w:val="fr-FR"/>
        </w:rPr>
        <w:t>+nC</w:t>
      </w:r>
      <w:r>
        <w:rPr>
          <w:vertAlign w:val="subscript"/>
          <w:lang w:val="fr-FR"/>
        </w:rPr>
        <w:t>4</w:t>
      </w:r>
      <w:r>
        <w:rPr>
          <w:lang w:val="fr-FR"/>
        </w:rPr>
        <w:t>+iC</w:t>
      </w:r>
      <w:r>
        <w:rPr>
          <w:vertAlign w:val="subscript"/>
          <w:lang w:val="fr-FR"/>
        </w:rPr>
        <w:t>5</w:t>
      </w:r>
      <w:r>
        <w:rPr>
          <w:lang w:val="fr-FR"/>
        </w:rPr>
        <w:t>+nC</w:t>
      </w:r>
      <w:r>
        <w:rPr>
          <w:vertAlign w:val="subscript"/>
          <w:lang w:val="fr-FR"/>
        </w:rPr>
        <w:t>5</w:t>
      </w:r>
      <w:r>
        <w:rPr>
          <w:lang w:val="fr-FR"/>
        </w:rPr>
        <w:t xml:space="preserve">) </w:t>
      </w:r>
    </w:p>
    <w:p w14:paraId="089E37AD">
      <w:pPr>
        <w:pStyle w:val="12"/>
      </w:pPr>
      <w:r>
        <w:rPr>
          <w:rFonts w:hint="eastAsia"/>
        </w:rPr>
        <w:t>（3）特征参数异常倍数法解释方法和标准</w:t>
      </w:r>
    </w:p>
    <w:p w14:paraId="1D37A52B">
      <w:pPr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以黄河口凹陷中部走滑带为例子，中部走滑带共分析37口井，储层310层，根据此构造带的油气特点，分别建立3个图版用于解释气层、油层和组分不全的油层。对于组分不全的油层，目前的研究是受到生物降解的影响，气测表现为组分不全，荧光显示较好，一般埋深都小于2000m。</w:t>
      </w:r>
    </w:p>
    <w:p w14:paraId="7CEA1950">
      <w:pPr>
        <w:spacing w:line="360" w:lineRule="auto"/>
        <w:contextualSpacing/>
        <w:jc w:val="center"/>
        <w:rPr>
          <w:rFonts w:hint="eastAsia"/>
          <w:szCs w:val="21"/>
        </w:rPr>
      </w:pPr>
      <w:r>
        <w:rPr>
          <w:rFonts w:hint="eastAsia" w:ascii="Times New Roman" w:hAnsi="Times New Roman" w:eastAsia="黑体" w:cs="Times New Roman"/>
          <w:kern w:val="0"/>
          <w:sz w:val="21"/>
          <w:szCs w:val="20"/>
          <w:lang w:val="en-US" w:eastAsia="zh-CN" w:bidi="ar-SA"/>
        </w:rPr>
        <w:t>表  黄河口凹陷中部走滑带异常倍数解释方法（油层）</w:t>
      </w:r>
    </w:p>
    <w:tbl>
      <w:tblPr>
        <w:tblStyle w:val="7"/>
        <w:tblW w:w="9267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967"/>
        <w:gridCol w:w="708"/>
        <w:gridCol w:w="812"/>
        <w:gridCol w:w="812"/>
        <w:gridCol w:w="812"/>
        <w:gridCol w:w="812"/>
        <w:gridCol w:w="812"/>
        <w:gridCol w:w="812"/>
        <w:gridCol w:w="743"/>
        <w:gridCol w:w="1009"/>
      </w:tblGrid>
      <w:tr w14:paraId="5A5AC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35" w:type="dxa"/>
            <w:gridSpan w:val="2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  <w:tl2br w:val="single" w:color="auto" w:sz="4" w:space="0"/>
            </w:tcBorders>
            <w:shd w:val="clear" w:color="000000" w:fill="00B0F0"/>
            <w:vAlign w:val="center"/>
          </w:tcPr>
          <w:p w14:paraId="579577A7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 xml:space="preserve">           气体参数                      流体类型          </w:t>
            </w:r>
          </w:p>
        </w:tc>
        <w:tc>
          <w:tcPr>
            <w:tcW w:w="7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1CFD38F9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Tg</w:t>
            </w:r>
          </w:p>
          <w:p w14:paraId="167303AD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(%)</w:t>
            </w:r>
          </w:p>
        </w:tc>
        <w:tc>
          <w:tcPr>
            <w:tcW w:w="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08BC1404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Tg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5EE5DFC7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1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4478C39C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iC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4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133AC2F9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nC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4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496CBEE1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iC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5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5905A00E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nC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5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74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66D5D419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荧光面积</w:t>
            </w:r>
          </w:p>
        </w:tc>
        <w:tc>
          <w:tcPr>
            <w:tcW w:w="10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00B0F0"/>
            <w:noWrap/>
            <w:vAlign w:val="center"/>
          </w:tcPr>
          <w:p w14:paraId="5BD32A7C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方正粗圆_GBK" w:hAnsi="Times New Roman" w:eastAsia="方正粗圆_GBK" w:cs="Times New Roman"/>
                <w:kern w:val="0"/>
                <w:sz w:val="18"/>
                <w:szCs w:val="18"/>
              </w:rPr>
              <w:t>备注</w:t>
            </w:r>
          </w:p>
        </w:tc>
      </w:tr>
      <w:tr w14:paraId="09138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35" w:type="dxa"/>
            <w:gridSpan w:val="2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37A69CF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719A8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98C729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82B347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5F925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38DCF0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2958B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1DFFE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74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45A8F5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10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1DF1ACE2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355E4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68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A9AAA04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组分不齐全(井深&lt;2000m)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7445B82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油层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4859FD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&gt;2.0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AF3143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5DD265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02F82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755CE9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7DF4D99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1247466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66D795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≥5%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436C31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　</w:t>
            </w:r>
          </w:p>
        </w:tc>
      </w:tr>
      <w:tr w14:paraId="4E344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6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136DFA6C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8D745C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含油水层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8A7B6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&gt;0.8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ECA24C3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126146F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&gt;3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307D47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125C1BC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435F331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12D9ADD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45D2F34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≥5%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7A471000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　</w:t>
            </w:r>
          </w:p>
        </w:tc>
      </w:tr>
      <w:tr w14:paraId="13AB2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6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6CDF818F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6E2942A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水干层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1FF1AA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&gt;0.3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E45BEC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&gt;1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A25E89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&gt;1.5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9EDA5D6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7AE7AF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E8E045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F0BCBEE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0C1FB9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≥5%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E10E4D9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>　</w:t>
            </w:r>
          </w:p>
        </w:tc>
      </w:tr>
      <w:tr w14:paraId="32425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68" w:type="dxa"/>
            <w:vMerge w:val="restart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2B238E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组分齐全</w:t>
            </w: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2ECD22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油层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D368EE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&gt;3.0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C68240C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&gt;4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24430C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6D4FCA6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AFF64CE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ADA622F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&gt;4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8B68DC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&gt;4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752B8A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≥5%</w:t>
            </w:r>
          </w:p>
        </w:tc>
        <w:tc>
          <w:tcPr>
            <w:tcW w:w="10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il"/>
            </w:tcBorders>
            <w:shd w:val="clear" w:color="000000" w:fill="FFFFFF"/>
            <w:vAlign w:val="center"/>
          </w:tcPr>
          <w:p w14:paraId="3D39C364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Times New Roman" w:hAnsi="Times New Roman" w:eastAsia="宋体" w:cs="Times New Roman"/>
                <w:kern w:val="0"/>
                <w:sz w:val="15"/>
                <w:szCs w:val="15"/>
              </w:rPr>
            </w:pPr>
            <w:r>
              <w:rPr>
                <w:rFonts w:hint="eastAsia" w:ascii="宋体" w:hAnsi="宋体" w:eastAsia="宋体" w:cs="Times New Roman"/>
                <w:kern w:val="0"/>
                <w:sz w:val="15"/>
                <w:szCs w:val="15"/>
              </w:rPr>
              <w:t>组分齐全要求各组分大于</w:t>
            </w:r>
            <w:r>
              <w:rPr>
                <w:rFonts w:ascii="Times New Roman" w:hAnsi="Times New Roman" w:eastAsia="宋体" w:cs="Times New Roman"/>
                <w:kern w:val="0"/>
                <w:sz w:val="15"/>
                <w:szCs w:val="15"/>
              </w:rPr>
              <w:t>25ppm</w:t>
            </w:r>
          </w:p>
        </w:tc>
      </w:tr>
      <w:tr w14:paraId="07267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6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36ED434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B223961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含油水层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8A418B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&gt;0.5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64114EE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2FE1B4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&gt;3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6844387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1B46E7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645BCC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70F4A01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391A26E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≥5%</w:t>
            </w:r>
          </w:p>
        </w:tc>
        <w:tc>
          <w:tcPr>
            <w:tcW w:w="10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2CE23A98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 w14:paraId="5ECC9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968" w:type="dxa"/>
            <w:vMerge w:val="continue"/>
            <w:tcBorders>
              <w:top w:val="nil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064952E5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1F17EE0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水干层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29B2D6E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&gt;0.3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7C42DD9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&gt;1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F9602D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&gt;1.5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6383B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338D6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855FE39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8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21D1A07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7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2A9B90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≥5%</w:t>
            </w:r>
          </w:p>
        </w:tc>
        <w:tc>
          <w:tcPr>
            <w:tcW w:w="10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 w14:paraId="33CAB5D3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</w:tbl>
    <w:p w14:paraId="0BC8C011">
      <w:pPr>
        <w:ind w:firstLine="420" w:firstLineChars="200"/>
        <w:jc w:val="left"/>
        <w:rPr>
          <w:rFonts w:hint="eastAsia"/>
          <w:szCs w:val="21"/>
        </w:rPr>
      </w:pPr>
    </w:p>
    <w:p w14:paraId="630D363F">
      <w:pPr>
        <w:spacing w:line="360" w:lineRule="auto"/>
        <w:contextualSpacing/>
        <w:jc w:val="center"/>
        <w:rPr>
          <w:rFonts w:hint="eastAsia"/>
          <w:szCs w:val="21"/>
        </w:rPr>
      </w:pPr>
      <w:r>
        <w:rPr>
          <w:rFonts w:hint="eastAsia" w:ascii="Times New Roman" w:hAnsi="Times New Roman" w:eastAsia="黑体" w:cs="Times New Roman"/>
          <w:kern w:val="0"/>
          <w:sz w:val="21"/>
          <w:szCs w:val="20"/>
          <w:lang w:val="en-US" w:eastAsia="zh-CN" w:bidi="ar-SA"/>
        </w:rPr>
        <w:t>表 黄河口凹陷中部走滑带异常倍数解释方法（气层）</w:t>
      </w:r>
    </w:p>
    <w:tbl>
      <w:tblPr>
        <w:tblStyle w:val="7"/>
        <w:tblW w:w="8043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4"/>
        <w:gridCol w:w="783"/>
        <w:gridCol w:w="851"/>
        <w:gridCol w:w="851"/>
        <w:gridCol w:w="851"/>
        <w:gridCol w:w="596"/>
        <w:gridCol w:w="2177"/>
      </w:tblGrid>
      <w:tr w14:paraId="10972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934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  <w:tl2br w:val="single" w:color="auto" w:sz="4" w:space="0"/>
            </w:tcBorders>
            <w:shd w:val="clear" w:color="000000" w:fill="00B0F0"/>
            <w:vAlign w:val="center"/>
          </w:tcPr>
          <w:p w14:paraId="15D62AC6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 xml:space="preserve">        气体参数      流体类型</w:t>
            </w:r>
          </w:p>
        </w:tc>
        <w:tc>
          <w:tcPr>
            <w:tcW w:w="78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0107B54E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Tg</w:t>
            </w:r>
          </w:p>
          <w:p w14:paraId="19AA8072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(%)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53F293BF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T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g异常倍数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3FCB4607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1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异常倍数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0058F8F6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C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  <w:vertAlign w:val="subscript"/>
              </w:rPr>
              <w:t>1</w:t>
            </w: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%</w:t>
            </w:r>
          </w:p>
        </w:tc>
        <w:tc>
          <w:tcPr>
            <w:tcW w:w="59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noWrap/>
            <w:vAlign w:val="center"/>
          </w:tcPr>
          <w:p w14:paraId="4AFFF797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荧光面积</w:t>
            </w:r>
          </w:p>
        </w:tc>
        <w:tc>
          <w:tcPr>
            <w:tcW w:w="21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00B0F0"/>
            <w:noWrap/>
            <w:vAlign w:val="center"/>
          </w:tcPr>
          <w:p w14:paraId="77571882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备注</w:t>
            </w:r>
          </w:p>
        </w:tc>
      </w:tr>
      <w:tr w14:paraId="560E7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934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188247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78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258A0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D60D8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C85BF7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7C67E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59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0CFC0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1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80BB683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</w:tr>
      <w:tr w14:paraId="56371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3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5DDA7E7D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气层</w:t>
            </w:r>
          </w:p>
        </w:tc>
        <w:tc>
          <w:tcPr>
            <w:tcW w:w="7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0903C0D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&gt;5.0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2A4DA1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&gt;6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4CE247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&gt;7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217EA2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&gt;80</w:t>
            </w:r>
          </w:p>
        </w:tc>
        <w:tc>
          <w:tcPr>
            <w:tcW w:w="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24AD3CD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57EB1191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　</w:t>
            </w:r>
          </w:p>
        </w:tc>
      </w:tr>
      <w:tr w14:paraId="5833A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3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2DED00F9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含气水层</w:t>
            </w:r>
          </w:p>
        </w:tc>
        <w:tc>
          <w:tcPr>
            <w:tcW w:w="7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41AEFF0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&gt;3.0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DF3101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&gt;3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94A3C4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&gt;5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C5FBC80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DCB8FAA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━</w:t>
            </w:r>
          </w:p>
        </w:tc>
        <w:tc>
          <w:tcPr>
            <w:tcW w:w="21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</w:tcPr>
          <w:p w14:paraId="0DB81339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无标志层，取标准值</w:t>
            </w:r>
          </w:p>
        </w:tc>
      </w:tr>
      <w:tr w14:paraId="08FE5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934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33678EEA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</w:rPr>
              <w:t>水干层</w:t>
            </w:r>
          </w:p>
        </w:tc>
        <w:tc>
          <w:tcPr>
            <w:tcW w:w="7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68D2FC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&gt;0.3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E0B5904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2224E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&gt;2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25C7CAF">
            <w:pPr>
              <w:widowControl/>
              <w:spacing w:line="360" w:lineRule="auto"/>
              <w:ind w:firstLine="0" w:firstLineChars="0"/>
              <w:contextualSpacing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　</w:t>
            </w:r>
          </w:p>
        </w:tc>
        <w:tc>
          <w:tcPr>
            <w:tcW w:w="5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E1DADCF">
            <w:pPr>
              <w:widowControl/>
              <w:spacing w:line="360" w:lineRule="auto"/>
              <w:ind w:firstLine="0" w:firstLineChars="0"/>
              <w:contextualSpacing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　</w:t>
            </w:r>
          </w:p>
        </w:tc>
        <w:tc>
          <w:tcPr>
            <w:tcW w:w="2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bottom"/>
          </w:tcPr>
          <w:p w14:paraId="3AF87BCC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kern w:val="0"/>
                <w:sz w:val="18"/>
                <w:szCs w:val="18"/>
              </w:rPr>
              <w:t>　</w:t>
            </w:r>
          </w:p>
        </w:tc>
      </w:tr>
    </w:tbl>
    <w:p w14:paraId="79523FF3">
      <w:pPr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特征参数异常倍数法，对油层和气层进行数据统计分析，分别建立解释图版。油层和气层图版解释标准如</w:t>
      </w:r>
      <w:r>
        <w:rPr>
          <w:rFonts w:hint="eastAsia"/>
          <w:szCs w:val="21"/>
          <w:lang w:val="en-US" w:eastAsia="zh-CN"/>
        </w:rPr>
        <w:t>上表</w:t>
      </w:r>
      <w:r>
        <w:rPr>
          <w:rFonts w:hint="eastAsia"/>
          <w:szCs w:val="21"/>
        </w:rPr>
        <w:t>所示，表为</w:t>
      </w:r>
      <w:r>
        <w:rPr>
          <w:rFonts w:hint="eastAsia"/>
          <w:szCs w:val="21"/>
          <w:lang w:val="en-US" w:eastAsia="zh-CN"/>
        </w:rPr>
        <w:t>黄</w:t>
      </w:r>
      <w:r>
        <w:rPr>
          <w:rFonts w:hint="eastAsia"/>
          <w:szCs w:val="21"/>
        </w:rPr>
        <w:t>河口凹陷中部走滑带异常倍数解释方法油层解释标准，表4为</w:t>
      </w:r>
      <w:r>
        <w:rPr>
          <w:rFonts w:hint="eastAsia"/>
          <w:szCs w:val="21"/>
          <w:lang w:val="en-US" w:eastAsia="zh-CN"/>
        </w:rPr>
        <w:t>黄</w:t>
      </w:r>
      <w:r>
        <w:rPr>
          <w:rFonts w:hint="eastAsia"/>
          <w:szCs w:val="21"/>
        </w:rPr>
        <w:t>河口凹陷中部走滑带异常倍数解释方法气层解释标准。</w:t>
      </w:r>
    </w:p>
    <w:p w14:paraId="636C3BCB">
      <w:pPr>
        <w:ind w:firstLine="420" w:firstLineChars="200"/>
      </w:pPr>
      <w:r>
        <w:t>根据图示，异常倍数解释流程如下：</w:t>
      </w:r>
    </w:p>
    <w:p w14:paraId="4A3ED7F3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选取异常储集层，选择储集层的储集层代表值和背景值；</w:t>
      </w:r>
    </w:p>
    <w:p w14:paraId="67EF731F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参考岩屑录井资料，储层是否有荧光，如果没有荧光，进入气层判别方法；</w:t>
      </w:r>
    </w:p>
    <w:p w14:paraId="6820510A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如果储层有荧光，需要进行生物降解油层的判断，井深是否小于2000m，组分是否齐全，荧光面积是否大于5%；</w:t>
      </w:r>
    </w:p>
    <w:p w14:paraId="3AD1D23C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如果满足生物降解油层的条件，则选择生物降解模型，依据表图版中的组分不全的解释标准进行生物降解油层的解释评价；</w:t>
      </w:r>
    </w:p>
    <w:p w14:paraId="1E7B2D54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如果不满足生物降解油层的条件，则进入组分齐全的常规油层解释模型，中间仍需要对衍生计算参数C1%进行计算，如果大于80%，则进入气层的识别；</w:t>
      </w:r>
    </w:p>
    <w:p w14:paraId="7686A7B5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依据表组分齐全的解释模型，所给出的参数进行常规油层解释评价，油层解释参数较多，解释过程中采用最大隶属原则，如果发生一个参数不符合，仍判断为符合条件；</w:t>
      </w:r>
    </w:p>
    <w:p w14:paraId="26DCD3CD">
      <w:pPr>
        <w:numPr>
          <w:ilvl w:val="0"/>
          <w:numId w:val="7"/>
        </w:numPr>
        <w:bidi w:val="0"/>
        <w:ind w:left="0" w:leftChars="0" w:firstLine="420" w:firstLineChars="0"/>
        <w:rPr>
          <w:rFonts w:hint="eastAsia"/>
        </w:rPr>
      </w:pPr>
      <w:r>
        <w:rPr>
          <w:rFonts w:hint="eastAsia"/>
        </w:rPr>
        <w:t>对于表和表给出油层和气层模型，采用顺序判断方法。以油层模型举例，先选判断油层，符合条件则解释结论为油层，如果不符合，则进入含油水层的判断，如果两者都不符合，则判断为水层。</w:t>
      </w:r>
    </w:p>
    <w:p w14:paraId="00B61B7F">
      <w:pPr>
        <w:jc w:val="center"/>
      </w:pPr>
      <w:r>
        <w:drawing>
          <wp:inline distT="0" distB="0" distL="0" distR="0">
            <wp:extent cx="5087620" cy="2164715"/>
            <wp:effectExtent l="0" t="0" r="17780" b="698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829" cy="21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7734">
      <w:pPr>
        <w:pStyle w:val="5"/>
      </w:pPr>
      <w:r>
        <w:rPr>
          <w:rFonts w:hint="eastAsia"/>
        </w:rPr>
        <w:t>图 特征参数异常倍数法解释流程图</w:t>
      </w:r>
    </w:p>
    <w:p w14:paraId="4E6EFC34">
      <w:pPr>
        <w:ind w:firstLine="420"/>
      </w:pPr>
      <w:r>
        <w:rPr>
          <w:rFonts w:hint="eastAsia"/>
        </w:rPr>
        <w:t>利用特征参数异常倍数法解释流程图，结合解释图版，将渤海油田遇到的气层、油层和生物降解油层作为一个解释整体来研究，此方法不仅考虑了全烃的绝对值，也考虑到了组分的齐全和荧光面积，属于多参数的综合解释。</w:t>
      </w:r>
    </w:p>
    <w:p w14:paraId="2390D292">
      <w:pPr>
        <w:bidi w:val="0"/>
        <w:rPr>
          <w:rFonts w:hint="default"/>
          <w:lang w:val="en-US" w:eastAsia="zh-CN"/>
        </w:rPr>
      </w:pPr>
    </w:p>
    <w:p w14:paraId="2C32A20F">
      <w:pPr>
        <w:numPr>
          <w:ilvl w:val="0"/>
          <w:numId w:val="8"/>
        </w:numPr>
        <w:bidi w:val="0"/>
        <w:ind w:firstLine="480" w:firstLineChars="20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油气水层特征对比</w:t>
      </w:r>
    </w:p>
    <w:tbl>
      <w:tblPr>
        <w:tblStyle w:val="7"/>
        <w:tblW w:w="84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2116"/>
        <w:gridCol w:w="2117"/>
        <w:gridCol w:w="2608"/>
      </w:tblGrid>
      <w:tr w14:paraId="29B57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1570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  <w:tl2br w:val="single" w:color="auto" w:sz="4" w:space="0"/>
            </w:tcBorders>
            <w:shd w:val="clear" w:color="000000" w:fill="00B0F0"/>
            <w:vAlign w:val="center"/>
          </w:tcPr>
          <w:p w14:paraId="7925357D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 xml:space="preserve">    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特征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 xml:space="preserve">  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参数</w:t>
            </w:r>
          </w:p>
        </w:tc>
        <w:tc>
          <w:tcPr>
            <w:tcW w:w="21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161A4572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油层</w:t>
            </w:r>
          </w:p>
        </w:tc>
        <w:tc>
          <w:tcPr>
            <w:tcW w:w="21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20C1F527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气层</w:t>
            </w:r>
          </w:p>
        </w:tc>
        <w:tc>
          <w:tcPr>
            <w:tcW w:w="26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B0F0"/>
            <w:vAlign w:val="center"/>
          </w:tcPr>
          <w:p w14:paraId="412A30F3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水层</w:t>
            </w:r>
          </w:p>
        </w:tc>
      </w:tr>
      <w:tr w14:paraId="15BF5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70" w:type="dxa"/>
            <w:vMerge w:val="continue"/>
            <w:tcBorders>
              <w:top w:val="single" w:color="auto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0E8689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</w:p>
        </w:tc>
        <w:tc>
          <w:tcPr>
            <w:tcW w:w="21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C81AB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1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5DD503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60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2257E2">
            <w:pPr>
              <w:widowControl/>
              <w:spacing w:line="240" w:lineRule="auto"/>
              <w:ind w:firstLine="0" w:firstLineChars="0"/>
              <w:contextualSpacing w:val="0"/>
              <w:jc w:val="left"/>
              <w:rPr>
                <w:rFonts w:ascii="宋体" w:hAnsi="宋体" w:eastAsia="宋体" w:cs="Times New Roman"/>
                <w:kern w:val="0"/>
                <w:sz w:val="18"/>
                <w:szCs w:val="18"/>
              </w:rPr>
            </w:pPr>
          </w:p>
        </w:tc>
      </w:tr>
      <w:tr w14:paraId="6A87E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23927CA3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全烃（TG）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6FA99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中-高（5%-20%）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E9A753B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极高（&gt;20%）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03DBCAD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低（&lt;2%）</w:t>
            </w:r>
          </w:p>
        </w:tc>
      </w:tr>
      <w:tr w14:paraId="0ABEF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11BB543C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default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C1占比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1B1496A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60%-80%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173B20A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&gt;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90%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5920911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&lt;</w:t>
            </w: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5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0%（可能受背景气干扰）</w:t>
            </w:r>
          </w:p>
        </w:tc>
      </w:tr>
      <w:tr w14:paraId="453E4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79EDE3D8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default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C2+含量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60E9249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较高（C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&gt;5%,C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&gt;2%）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3761808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极低（C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baseline"/>
                <w:lang w:val="en-US" w:eastAsia="zh-CN"/>
              </w:rPr>
              <w:t>&lt;5%,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sub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baseline"/>
                <w:lang w:val="en-US" w:eastAsia="zh-CN"/>
              </w:rPr>
              <w:t>&lt;1%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DEDD0C3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无或极低</w:t>
            </w:r>
          </w:p>
        </w:tc>
      </w:tr>
      <w:tr w14:paraId="3965E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5524564C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default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气体活跃性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4459106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稳定或缓慢释放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E12A2F2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快速突增，后效明显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278855A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无或零星显示</w:t>
            </w:r>
          </w:p>
        </w:tc>
      </w:tr>
      <w:tr w14:paraId="76353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57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bottom"/>
          </w:tcPr>
          <w:p w14:paraId="65115448">
            <w:pPr>
              <w:widowControl/>
              <w:spacing w:line="240" w:lineRule="auto"/>
              <w:ind w:firstLine="0" w:firstLineChars="0"/>
              <w:contextualSpacing w:val="0"/>
              <w:jc w:val="center"/>
              <w:rPr>
                <w:rFonts w:hint="default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非烃气体（CO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vertAlign w:val="baseline"/>
                <w:lang w:val="en-US" w:eastAsia="zh-CN"/>
              </w:rPr>
              <w:t>,N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vertAlign w:val="sub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）</w:t>
            </w:r>
          </w:p>
        </w:tc>
        <w:tc>
          <w:tcPr>
            <w:tcW w:w="2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C260EF0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可能含少量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lang w:val="en-US" w:eastAsia="zh-CN"/>
              </w:rPr>
              <w:t>CO</w:t>
            </w:r>
            <w:r>
              <w:rPr>
                <w:rFonts w:hint="eastAsia" w:ascii="宋体" w:hAnsi="宋体" w:eastAsia="宋体" w:cs="Times New Roman"/>
                <w:kern w:val="0"/>
                <w:sz w:val="18"/>
                <w:szCs w:val="18"/>
                <w:vertAlign w:val="subscript"/>
                <w:lang w:val="en-US" w:eastAsia="zh-CN"/>
              </w:rPr>
              <w:t>2</w:t>
            </w:r>
          </w:p>
        </w:tc>
        <w:tc>
          <w:tcPr>
            <w:tcW w:w="21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9101565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低非烃气体</w:t>
            </w:r>
          </w:p>
        </w:tc>
        <w:tc>
          <w:tcPr>
            <w:tcW w:w="26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3D95990">
            <w:pPr>
              <w:widowControl/>
              <w:spacing w:line="360" w:lineRule="auto"/>
              <w:ind w:firstLine="0" w:firstLineChars="0"/>
              <w:contextualSpacing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可能含H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S或高N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vertAlign w:val="subscript"/>
                <w:lang w:val="en-US" w:eastAsia="zh-CN"/>
              </w:rPr>
              <w:t>2</w:t>
            </w:r>
          </w:p>
        </w:tc>
      </w:tr>
    </w:tbl>
    <w:p w14:paraId="4F602164">
      <w:pPr>
        <w:numPr>
          <w:ilvl w:val="0"/>
          <w:numId w:val="0"/>
        </w:num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47B5C988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四、特殊情况的解释调整</w:t>
      </w:r>
    </w:p>
    <w:p w14:paraId="68B0BCB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低阻油层：</w:t>
      </w:r>
    </w:p>
    <w:p w14:paraId="5109690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全烃中等但组分复杂（C</w:t>
      </w:r>
      <w:r>
        <w:rPr>
          <w:rFonts w:hint="default"/>
          <w:vertAlign w:val="subscript"/>
          <w:lang w:val="en-US" w:eastAsia="zh-CN"/>
        </w:rPr>
        <w:t>2</w:t>
      </w:r>
      <w:r>
        <w:rPr>
          <w:rFonts w:hint="default"/>
          <w:lang w:val="en-US" w:eastAsia="zh-CN"/>
        </w:rPr>
        <w:t>+高），需结合电阻率、孔隙度校正。</w:t>
      </w:r>
    </w:p>
    <w:p w14:paraId="485B4E7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气水同层：</w:t>
      </w:r>
    </w:p>
    <w:p w14:paraId="075DFC9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全烃较高但波动大，C</w:t>
      </w:r>
      <w:r>
        <w:rPr>
          <w:rFonts w:hint="default"/>
          <w:vertAlign w:val="subscript"/>
          <w:lang w:val="en-US" w:eastAsia="zh-CN"/>
        </w:rPr>
        <w:t>1</w:t>
      </w:r>
      <w:r>
        <w:rPr>
          <w:rFonts w:hint="default"/>
          <w:lang w:val="en-US" w:eastAsia="zh-CN"/>
        </w:rPr>
        <w:t>/C</w:t>
      </w:r>
      <w:r>
        <w:rPr>
          <w:rFonts w:hint="default"/>
          <w:vertAlign w:val="subscript"/>
          <w:lang w:val="en-US" w:eastAsia="zh-CN"/>
        </w:rPr>
        <w:t>2</w:t>
      </w:r>
      <w:r>
        <w:rPr>
          <w:rFonts w:hint="default"/>
          <w:lang w:val="en-US" w:eastAsia="zh-CN"/>
        </w:rPr>
        <w:t>比值介于气层与油层之间，电阻率中低。</w:t>
      </w:r>
    </w:p>
    <w:p w14:paraId="2CD5E16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钻井液污染：</w:t>
      </w:r>
    </w:p>
    <w:p w14:paraId="7D8C23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全烃异常但组分单一（如仅C</w:t>
      </w:r>
      <w:r>
        <w:rPr>
          <w:rFonts w:hint="default"/>
          <w:vertAlign w:val="subscript"/>
          <w:lang w:val="en-US" w:eastAsia="zh-CN"/>
        </w:rPr>
        <w:t>1</w:t>
      </w:r>
      <w:r>
        <w:rPr>
          <w:rFonts w:hint="default"/>
          <w:lang w:val="en-US" w:eastAsia="zh-CN"/>
        </w:rPr>
        <w:t>），需对比背景气值排除干扰。</w:t>
      </w:r>
    </w:p>
    <w:p w14:paraId="51CEEA31">
      <w:pPr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五、注意事项</w:t>
      </w:r>
    </w:p>
    <w:p w14:paraId="64A673A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背景气校正：扣除钻井液背景气（基线值）对全烃和组分的影响。</w:t>
      </w:r>
    </w:p>
    <w:p w14:paraId="494B5F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地层压力匹配：高压气层可能导致气体快速释放，需结合地层压力数据。</w:t>
      </w:r>
    </w:p>
    <w:p w14:paraId="35301FB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综合解释：结合岩屑录井（荧光显示）、测井（电阻率、声波时差）及地质录井（岩性、构造）综合分析。</w:t>
      </w:r>
    </w:p>
    <w:p w14:paraId="2BFAEC7C">
      <w:pPr>
        <w:numPr>
          <w:ilvl w:val="0"/>
          <w:numId w:val="0"/>
        </w:numPr>
        <w:bidi w:val="0"/>
        <w:ind w:firstLine="480" w:firstLineChars="20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t>示例解释</w:t>
      </w:r>
    </w:p>
    <w:p w14:paraId="7F3BAC2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案例1：某井段全烃15%，C1=75%，C2=12%，C3=5%，干燥系数=75/(12+5)=4.4，判断为油层（C2+含量高，干燥系数低）。</w:t>
      </w:r>
    </w:p>
    <w:p w14:paraId="3AAF21F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案例2：全烃35%，C1=95%，C2=3%，C3=1%，干燥系数=95/(3+1)=23.8，判断为气层（高干燥系数，C1主导）。</w:t>
      </w:r>
    </w:p>
    <w:p w14:paraId="04A17E5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气测录井需动态分析气体变化趋势，结合区域经验灵活调整解释标准，避免单一参数误判。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方正粗圆_GBK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20"/>
      </w:pPr>
      <w:r>
        <w:separator/>
      </w:r>
    </w:p>
  </w:footnote>
  <w:footnote w:type="continuationSeparator" w:id="1">
    <w:p>
      <w:pPr>
        <w:spacing w:line="312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F9FB3"/>
    <w:multiLevelType w:val="singleLevel"/>
    <w:tmpl w:val="811F9FB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F955C98"/>
    <w:multiLevelType w:val="singleLevel"/>
    <w:tmpl w:val="8F955C9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A1CCF092"/>
    <w:multiLevelType w:val="singleLevel"/>
    <w:tmpl w:val="A1CCF09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050B442F"/>
    <w:multiLevelType w:val="singleLevel"/>
    <w:tmpl w:val="050B442F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17235C3F"/>
    <w:multiLevelType w:val="multilevel"/>
    <w:tmpl w:val="17235C3F"/>
    <w:lvl w:ilvl="0" w:tentative="0">
      <w:start w:val="1"/>
      <w:numFmt w:val="decimal"/>
      <w:suff w:val="space"/>
      <w:lvlText w:val="第%1章"/>
      <w:lvlJc w:val="left"/>
      <w:pPr>
        <w:ind w:left="4112" w:firstLine="0"/>
      </w:pPr>
      <w:rPr>
        <w:rFonts w:hint="eastAsia"/>
      </w:rPr>
    </w:lvl>
    <w:lvl w:ilvl="1" w:tentative="0">
      <w:start w:val="1"/>
      <w:numFmt w:val="decimal"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3"/>
      <w:lvlText w:val="%1.%2.%3 "/>
      <w:lvlJc w:val="left"/>
      <w:pPr>
        <w:ind w:left="2552" w:firstLine="0"/>
      </w:pPr>
      <w:rPr>
        <w:rFonts w:hint="eastAsia"/>
      </w:rPr>
    </w:lvl>
    <w:lvl w:ilvl="3" w:tentative="0">
      <w:start w:val="1"/>
      <w:numFmt w:val="decimal"/>
      <w:pStyle w:val="4"/>
      <w:lvlText w:val="%1.%2.%3.%4 "/>
      <w:lvlJc w:val="left"/>
      <w:pPr>
        <w:ind w:left="1985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1F1B3CC5"/>
    <w:multiLevelType w:val="singleLevel"/>
    <w:tmpl w:val="1F1B3CC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6">
    <w:nsid w:val="544FC98D"/>
    <w:multiLevelType w:val="singleLevel"/>
    <w:tmpl w:val="544FC98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>
    <w:nsid w:val="56D00BE0"/>
    <w:multiLevelType w:val="singleLevel"/>
    <w:tmpl w:val="56D00BE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A7605"/>
    <w:rsid w:val="00E52F76"/>
    <w:rsid w:val="01DB1C83"/>
    <w:rsid w:val="03993C05"/>
    <w:rsid w:val="03B328D3"/>
    <w:rsid w:val="04172027"/>
    <w:rsid w:val="048720C8"/>
    <w:rsid w:val="048C060E"/>
    <w:rsid w:val="052B1173"/>
    <w:rsid w:val="05C70E9C"/>
    <w:rsid w:val="05FD666C"/>
    <w:rsid w:val="069F7723"/>
    <w:rsid w:val="07133292"/>
    <w:rsid w:val="08AA16A2"/>
    <w:rsid w:val="08B9060D"/>
    <w:rsid w:val="08EC580B"/>
    <w:rsid w:val="0A07571A"/>
    <w:rsid w:val="0C9920F0"/>
    <w:rsid w:val="0CF14CDC"/>
    <w:rsid w:val="0D9C2C0E"/>
    <w:rsid w:val="0EF32D02"/>
    <w:rsid w:val="0F8959CB"/>
    <w:rsid w:val="10F60887"/>
    <w:rsid w:val="114333A1"/>
    <w:rsid w:val="120927D5"/>
    <w:rsid w:val="12274A70"/>
    <w:rsid w:val="12286465"/>
    <w:rsid w:val="124B7FB6"/>
    <w:rsid w:val="124F64A1"/>
    <w:rsid w:val="13D31C6A"/>
    <w:rsid w:val="14C76DBB"/>
    <w:rsid w:val="15AA7E92"/>
    <w:rsid w:val="17400AAE"/>
    <w:rsid w:val="17D86A4F"/>
    <w:rsid w:val="18F67CCC"/>
    <w:rsid w:val="19BB266E"/>
    <w:rsid w:val="1A18186E"/>
    <w:rsid w:val="1BB67591"/>
    <w:rsid w:val="1DDA6E3B"/>
    <w:rsid w:val="1E377867"/>
    <w:rsid w:val="1E4946EC"/>
    <w:rsid w:val="1EF26B32"/>
    <w:rsid w:val="1EF5217E"/>
    <w:rsid w:val="1F064CDB"/>
    <w:rsid w:val="1F2B5197"/>
    <w:rsid w:val="1F884DA0"/>
    <w:rsid w:val="20D43675"/>
    <w:rsid w:val="25B85CB3"/>
    <w:rsid w:val="25F41A6E"/>
    <w:rsid w:val="263F2CEB"/>
    <w:rsid w:val="2A2B739C"/>
    <w:rsid w:val="2CAE3535"/>
    <w:rsid w:val="2DD41AF8"/>
    <w:rsid w:val="2E0423DE"/>
    <w:rsid w:val="2F883EA8"/>
    <w:rsid w:val="30D17C09"/>
    <w:rsid w:val="32197AF2"/>
    <w:rsid w:val="323B0398"/>
    <w:rsid w:val="33DC0DAE"/>
    <w:rsid w:val="343D16E0"/>
    <w:rsid w:val="34E46AC5"/>
    <w:rsid w:val="35130EFF"/>
    <w:rsid w:val="358E3870"/>
    <w:rsid w:val="35C661CB"/>
    <w:rsid w:val="376F0A86"/>
    <w:rsid w:val="38156F95"/>
    <w:rsid w:val="38340DB8"/>
    <w:rsid w:val="38F14D80"/>
    <w:rsid w:val="39924D42"/>
    <w:rsid w:val="3B611B04"/>
    <w:rsid w:val="3C2974B3"/>
    <w:rsid w:val="3C4340D1"/>
    <w:rsid w:val="3C8F1636"/>
    <w:rsid w:val="3D477BF1"/>
    <w:rsid w:val="3D891FB8"/>
    <w:rsid w:val="3F5465F5"/>
    <w:rsid w:val="3F763789"/>
    <w:rsid w:val="3F917849"/>
    <w:rsid w:val="40C8729B"/>
    <w:rsid w:val="41C11650"/>
    <w:rsid w:val="431840AC"/>
    <w:rsid w:val="44B10046"/>
    <w:rsid w:val="454D5FC1"/>
    <w:rsid w:val="460348D1"/>
    <w:rsid w:val="46EF22FA"/>
    <w:rsid w:val="46F25071"/>
    <w:rsid w:val="47342681"/>
    <w:rsid w:val="47953C4F"/>
    <w:rsid w:val="47EB74F1"/>
    <w:rsid w:val="498A6249"/>
    <w:rsid w:val="49B760FE"/>
    <w:rsid w:val="4A282859"/>
    <w:rsid w:val="4A35642B"/>
    <w:rsid w:val="4A3D4856"/>
    <w:rsid w:val="4A3E05CE"/>
    <w:rsid w:val="4A631F37"/>
    <w:rsid w:val="4AA5064D"/>
    <w:rsid w:val="4C9B3AB5"/>
    <w:rsid w:val="4CC509D2"/>
    <w:rsid w:val="4D1760B7"/>
    <w:rsid w:val="4D4502B0"/>
    <w:rsid w:val="4D7C38E7"/>
    <w:rsid w:val="4D907392"/>
    <w:rsid w:val="4E2A3343"/>
    <w:rsid w:val="4E562518"/>
    <w:rsid w:val="4F29184C"/>
    <w:rsid w:val="4F351918"/>
    <w:rsid w:val="518813F9"/>
    <w:rsid w:val="52FB3500"/>
    <w:rsid w:val="531A79A0"/>
    <w:rsid w:val="538057B3"/>
    <w:rsid w:val="55486565"/>
    <w:rsid w:val="55F81F79"/>
    <w:rsid w:val="56212217"/>
    <w:rsid w:val="56292132"/>
    <w:rsid w:val="573A7474"/>
    <w:rsid w:val="584E7C2E"/>
    <w:rsid w:val="587A15CC"/>
    <w:rsid w:val="5889335C"/>
    <w:rsid w:val="58F00CE5"/>
    <w:rsid w:val="593651C5"/>
    <w:rsid w:val="59886BA2"/>
    <w:rsid w:val="5AB81CD6"/>
    <w:rsid w:val="5C5C0AF2"/>
    <w:rsid w:val="5CD818A9"/>
    <w:rsid w:val="5D094A6B"/>
    <w:rsid w:val="5D9E58BB"/>
    <w:rsid w:val="5E317DD6"/>
    <w:rsid w:val="5E3D49CC"/>
    <w:rsid w:val="5EC57BA7"/>
    <w:rsid w:val="5F840D3E"/>
    <w:rsid w:val="5F9B3906"/>
    <w:rsid w:val="5FA8056B"/>
    <w:rsid w:val="603028FE"/>
    <w:rsid w:val="605718AA"/>
    <w:rsid w:val="60736525"/>
    <w:rsid w:val="609F196E"/>
    <w:rsid w:val="61F83EFD"/>
    <w:rsid w:val="62CF4061"/>
    <w:rsid w:val="634A36E8"/>
    <w:rsid w:val="63696264"/>
    <w:rsid w:val="649778B1"/>
    <w:rsid w:val="660D3389"/>
    <w:rsid w:val="66C77C72"/>
    <w:rsid w:val="6742144E"/>
    <w:rsid w:val="67452B44"/>
    <w:rsid w:val="697E2402"/>
    <w:rsid w:val="6A527A52"/>
    <w:rsid w:val="6A8A71EB"/>
    <w:rsid w:val="6AEF704E"/>
    <w:rsid w:val="6B981494"/>
    <w:rsid w:val="6BE65440"/>
    <w:rsid w:val="6D6B4986"/>
    <w:rsid w:val="6DA57E98"/>
    <w:rsid w:val="6E104562"/>
    <w:rsid w:val="6F6D49E6"/>
    <w:rsid w:val="6FC7531A"/>
    <w:rsid w:val="70F67594"/>
    <w:rsid w:val="711E0C09"/>
    <w:rsid w:val="71D84CE0"/>
    <w:rsid w:val="73CC2623"/>
    <w:rsid w:val="73DD36FA"/>
    <w:rsid w:val="749C4A78"/>
    <w:rsid w:val="75127B90"/>
    <w:rsid w:val="75466F4B"/>
    <w:rsid w:val="757F51E6"/>
    <w:rsid w:val="75F55735"/>
    <w:rsid w:val="76114DD2"/>
    <w:rsid w:val="76A827A7"/>
    <w:rsid w:val="76BD6253"/>
    <w:rsid w:val="78395DAD"/>
    <w:rsid w:val="788D7593"/>
    <w:rsid w:val="78907546"/>
    <w:rsid w:val="792C76C0"/>
    <w:rsid w:val="79386064"/>
    <w:rsid w:val="7A560E98"/>
    <w:rsid w:val="7A68644F"/>
    <w:rsid w:val="7AD376CC"/>
    <w:rsid w:val="7C5F196A"/>
    <w:rsid w:val="7C617073"/>
    <w:rsid w:val="7CA3413D"/>
    <w:rsid w:val="7E074257"/>
    <w:rsid w:val="7F7A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420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ind w:left="0"/>
      <w:outlineLvl w:val="2"/>
    </w:pPr>
    <w:rPr>
      <w:rFonts w:eastAsia="黑体"/>
      <w:b/>
      <w:bCs/>
      <w:szCs w:val="32"/>
    </w:rPr>
  </w:style>
  <w:style w:type="paragraph" w:styleId="4">
    <w:name w:val="heading 4"/>
    <w:basedOn w:val="1"/>
    <w:next w:val="1"/>
    <w:link w:val="13"/>
    <w:unhideWhenUsed/>
    <w:qFormat/>
    <w:uiPriority w:val="9"/>
    <w:pPr>
      <w:keepNext/>
      <w:keepLines/>
      <w:numPr>
        <w:ilvl w:val="3"/>
        <w:numId w:val="1"/>
      </w:numPr>
      <w:ind w:left="0"/>
      <w:jc w:val="left"/>
      <w:outlineLvl w:val="3"/>
    </w:pPr>
    <w:rPr>
      <w:rFonts w:ascii="黑体" w:hAnsi="黑体" w:eastAsia="黑体" w:cstheme="majorBidi"/>
      <w:bCs/>
      <w:szCs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jc w:val="center"/>
    </w:pPr>
    <w:rPr>
      <w:rFonts w:eastAsia="黑体"/>
      <w:sz w:val="21"/>
      <w:szCs w:val="20"/>
    </w:rPr>
  </w:style>
  <w:style w:type="paragraph" w:styleId="6">
    <w:name w:val="Body Text"/>
    <w:basedOn w:val="1"/>
    <w:unhideWhenUsed/>
    <w:qFormat/>
    <w:uiPriority w:val="0"/>
    <w:pPr>
      <w:spacing w:after="120"/>
    </w:p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left="720"/>
    </w:pPr>
  </w:style>
  <w:style w:type="paragraph" w:customStyle="1" w:styleId="11">
    <w:name w:val="00图表"/>
    <w:basedOn w:val="5"/>
    <w:qFormat/>
    <w:uiPriority w:val="0"/>
    <w:pPr>
      <w:widowControl w:val="0"/>
      <w:spacing w:line="276" w:lineRule="auto"/>
    </w:pPr>
    <w:rPr>
      <w:kern w:val="2"/>
    </w:rPr>
  </w:style>
  <w:style w:type="paragraph" w:customStyle="1" w:styleId="12">
    <w:name w:val="00 分类描述"/>
    <w:basedOn w:val="1"/>
    <w:qFormat/>
    <w:uiPriority w:val="0"/>
    <w:pPr>
      <w:ind w:firstLine="482" w:firstLineChars="200"/>
      <w:jc w:val="left"/>
    </w:pPr>
    <w:rPr>
      <w:rFonts w:ascii="Calibri" w:hAnsi="Calibri"/>
      <w:b/>
      <w:szCs w:val="21"/>
    </w:rPr>
  </w:style>
  <w:style w:type="character" w:customStyle="1" w:styleId="13">
    <w:name w:val="标题 4 字符"/>
    <w:basedOn w:val="8"/>
    <w:link w:val="4"/>
    <w:qFormat/>
    <w:uiPriority w:val="9"/>
    <w:rPr>
      <w:rFonts w:ascii="黑体" w:hAnsi="黑体" w:eastAsia="黑体" w:cstheme="majorBidi"/>
      <w:bCs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13.png"/><Relationship Id="rId26" Type="http://schemas.openxmlformats.org/officeDocument/2006/relationships/image" Target="media/image12.wmf"/><Relationship Id="rId25" Type="http://schemas.openxmlformats.org/officeDocument/2006/relationships/oleObject" Target="embeddings/oleObject9.bin"/><Relationship Id="rId24" Type="http://schemas.openxmlformats.org/officeDocument/2006/relationships/image" Target="media/image11.wmf"/><Relationship Id="rId23" Type="http://schemas.openxmlformats.org/officeDocument/2006/relationships/oleObject" Target="embeddings/oleObject8.bin"/><Relationship Id="rId22" Type="http://schemas.openxmlformats.org/officeDocument/2006/relationships/image" Target="media/image10.wmf"/><Relationship Id="rId21" Type="http://schemas.openxmlformats.org/officeDocument/2006/relationships/oleObject" Target="embeddings/oleObject7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8.pn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9075</Words>
  <Characters>11354</Characters>
  <Lines>0</Lines>
  <Paragraphs>0</Paragraphs>
  <TotalTime>437</TotalTime>
  <ScaleCrop>false</ScaleCrop>
  <LinksUpToDate>false</LinksUpToDate>
  <CharactersWithSpaces>11554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2025-02-13T01:40:00Z</dcterms:created>
  <dc:creator>ZhangwenyingCFBGC</dc:creator>
  <cp:lastModifiedBy>殇祭、</cp:lastModifiedBy>
  <dcterms:modified xsi:type="dcterms:W3CDTF">2026-04-09T09:09:21Z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DF42756ED4AD4F2AACFC89887647ABD2_13</vt:lpwstr>
  </property>
</Properties>
</file>