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5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1.已完成求职准备和毕设推进</w:t>
      </w:r>
    </w:p>
    <w:p w14:paraId="3DE2D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本周以事业编真题套卷为核心，累计投入约48小时。具体完成：6套职测与综应真题的全真模拟（职测平均75分，综应66分），每次模拟后逐题复盘，将错题归为知识盲点、技巧不足、粗心失误三类，整理知识点漏洞；针对模拟暴露的图形推理、数量关系计算慢，以及新《行政处罚法》、本省省情等弱项，分别进行专项刷题与背诵；每日晚间浏览官方时政信息，把握命题趋势。</w:t>
      </w:r>
    </w:p>
    <w:p w14:paraId="22433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主要问题：①行测资料分析模块耗时过长，挤压数量关系时间；②法律及时政题目模糊记忆，易在相似选项中选错；③下午模拟时注意力下降，综应论述题得分偏低。解决方案：设定模块时间底线，超时果断跳过，优先保证数量关系完成；对混淆点采用对比记忆法，自制表格/思维导图强化辨析；调整生物钟，按真实考试时间模拟并保证午休，模拟前用唤醒动作提升专注度。</w:t>
      </w:r>
    </w:p>
    <w:p w14:paraId="669C8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4.总结：</w:t>
      </w:r>
      <w:bookmarkStart w:id="0" w:name="_GoBack"/>
      <w:bookmarkEnd w:id="0"/>
      <w:r>
        <w:rPr>
          <w:rFonts w:hint="eastAsia"/>
          <w:lang w:val="en-US" w:eastAsia="zh-CN"/>
        </w:rPr>
        <w:t>回顾这一周，我深刻体会到“双线作战”对时间管理、精力分配和心理韧性的巨大考验。一边是逼近倒计时的事业编考试，我必须沉下心来刷真题、复盘错题、补弱点；另一边是毕业设计的关键推进阶段，实验数据/论文框架/程序调试容不得半点拖延。起初，我常常陷入“顾此失彼”的焦虑——被毕设的一个bug卡住数小时，导致当天真题复盘被迫压缩。这种撕裂感让我意识到：单纯的“拼时长”只会透支自己，必须建立更科学的任务切换与心态调节机制。</w:t>
      </w:r>
    </w:p>
    <w:p w14:paraId="55DBF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尝试调整后，我找到了相对平衡的节奏：将一天划分为“高效块”与“机械块”——上午精神最集中时留给真题全真模拟，下午状态稍缓时处理毕设中偏资料整理、绘图或代码调试等可分段完成的工作，晚上则统一进行错题辨析和毕设进度标注。我还会每天列出“三项必完成”（例如：一套行测+毕设修改+错题本更新），避免被琐碎事务淹没。这种结构化安排不仅提升了产出，更让我找回了掌控感。</w:t>
      </w:r>
    </w:p>
    <w:p w14:paraId="0730C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珍贵的收获是心态上的成长。我开始接受“不完美并行”的现实：求职和毕设不可能每天都有同等突破，但只要保持持续投入，就会发现二者其实可以互相滋养——刷题训练出的逻辑分析能力，反过来帮助我更清晰地梳理论文框架；毕设中锻炼的文献检索与严谨论证习惯，也让公基的法律案例分析做得更扎实。这一周，我不再苛求“两全其美”，而是学会了在交替中蓄力，在压力下保持节奏。</w:t>
      </w:r>
    </w:p>
    <w:p w14:paraId="4C18D4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路还很长，但我不再慌张。求职与毕设，本就是毕业季的一体两面。我将带着这份“并行作战”的经验，继续踏实走好接下来的每一步。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63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2026-05-02T12:19:04Z</dcterms:created>
  <dc:creator>wzm</dc:creator>
  <cp:lastModifiedBy>淋汐</cp:lastModifiedBy>
  <dcterms:modified xsi:type="dcterms:W3CDTF">2026-05-02T12:31:54Z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eyJoZGlkIjoiYjg3MjBmZDMzYWE4NDg3MmNiYzllNjU3YTNiYWQ4YmUiLCJ1c2VySWQiOiIxNDExOTI1NjA2In0=</vt:lpwstr>
  </property>
  <property fmtid="{D5CDD505-2E9C-101B-9397-08002B2CF9AE}" pid="4" name="ICV">
    <vt:lpwstr>F9EBF28F1B4540589CB9995ED23CB780_12</vt:lpwstr>
  </property>
</Properties>
</file>