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926C0">
      <w:pPr>
        <w:spacing w:after="8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36"/>
          <w:szCs w:val="36"/>
        </w:rPr>
        <w:t>山高环能调研纪要</w:t>
      </w:r>
    </w:p>
    <w:p w14:paraId="08124D58">
      <w:pPr>
        <w:spacing w:after="6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1"/>
          <w:szCs w:val="21"/>
        </w:rPr>
        <w:t>调研时间：2026年</w:t>
      </w:r>
      <w:r>
        <w:rPr>
          <w:rFonts w:hint="eastAsia" w:cs="楷体"/>
          <w:sz w:val="21"/>
          <w:szCs w:val="21"/>
          <w:lang w:val="en-US" w:eastAsia="zh-CN"/>
        </w:rPr>
        <w:t>5</w:t>
      </w:r>
      <w:r>
        <w:rPr>
          <w:rFonts w:hint="eastAsia" w:ascii="楷体" w:hAnsi="楷体" w:eastAsia="楷体" w:cs="楷体"/>
          <w:sz w:val="21"/>
          <w:szCs w:val="21"/>
        </w:rPr>
        <w:t>月</w:t>
      </w:r>
    </w:p>
    <w:p w14:paraId="4B140CDB">
      <w:pPr>
        <w:spacing w:after="6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1"/>
          <w:szCs w:val="21"/>
        </w:rPr>
        <w:t>调研对象：山高环能 宋总</w:t>
      </w:r>
      <w:bookmarkStart w:id="0" w:name="_GoBack"/>
      <w:bookmarkEnd w:id="0"/>
    </w:p>
    <w:p w14:paraId="1D0F87CF">
      <w:pPr>
        <w:spacing w:after="240"/>
        <w:jc w:val="left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</w:rPr>
        <w:t>调研地点：</w:t>
      </w:r>
      <w:r>
        <w:rPr>
          <w:rFonts w:hint="eastAsia" w:cs="楷体"/>
          <w:sz w:val="21"/>
          <w:szCs w:val="21"/>
          <w:lang w:val="en-US" w:eastAsia="zh-CN"/>
        </w:rPr>
        <w:t>线上</w:t>
      </w:r>
    </w:p>
    <w:p w14:paraId="09F020A1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1. 2026年Q1及近期经营数据如何？</w:t>
      </w:r>
    </w:p>
    <w:p w14:paraId="336324FF">
      <w:pPr>
        <w:spacing w:after="100"/>
        <w:rPr>
          <w:rFonts w:hint="eastAsia" w:ascii="楷体" w:hAnsi="楷体" w:eastAsia="楷体" w:cs="楷体"/>
          <w:b w:val="0"/>
          <w:bCs w:val="0"/>
          <w:sz w:val="22"/>
          <w:szCs w:val="22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Q1垃圾处理量</w:t>
      </w:r>
      <w:r>
        <w:rPr>
          <w:rFonts w:hint="eastAsia" w:cs="楷体"/>
          <w:b/>
          <w:bCs/>
          <w:sz w:val="22"/>
          <w:szCs w:val="22"/>
          <w:lang w:eastAsia="zh-CN"/>
        </w:rPr>
        <w:t>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35.9万吨（淡季，受寒假春节影响），同比+10%，纯存量增长不含并购。</w:t>
      </w:r>
    </w:p>
    <w:p w14:paraId="7295EF58">
      <w:pPr>
        <w:spacing w:after="100"/>
        <w:rPr>
          <w:rFonts w:hint="eastAsia" w:ascii="楷体" w:hAnsi="楷体" w:eastAsia="楷体" w:cs="楷体"/>
          <w:b w:val="0"/>
          <w:bCs w:val="0"/>
          <w:sz w:val="22"/>
          <w:szCs w:val="22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全年油脂产量</w:t>
      </w:r>
      <w:r>
        <w:rPr>
          <w:rFonts w:hint="eastAsia" w:cs="楷体"/>
          <w:b/>
          <w:bCs/>
          <w:sz w:val="22"/>
          <w:szCs w:val="22"/>
          <w:lang w:val="en-US" w:eastAsia="zh-CN"/>
        </w:rPr>
        <w:t>指引：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预算9万吨，Q1自产2.06万吨，同比+16%，2025年全年7.87万吨同比+6.3%。</w:t>
      </w:r>
    </w:p>
    <w:p w14:paraId="401ABC72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产能利用率</w:t>
      </w:r>
      <w:r>
        <w:rPr>
          <w:rFonts w:hint="eastAsia" w:cs="楷体"/>
          <w:b/>
          <w:bCs/>
          <w:sz w:val="22"/>
          <w:szCs w:val="22"/>
          <w:lang w:eastAsia="zh-CN"/>
        </w:rPr>
        <w:t>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2025年86.8%（同比+7.4pct），Q1为78%（同比+1pct），4-5月接近88%-89%，高峰期90%+。TOD方面Q1达4.62，同比提升0.29，主要受益于水力制浆新技术及郑州/温江项目。生产成本2025年127元/吨（同比-9.48%），Q1降至121元/吨（同比-6.57%），得益于集团标准化运营体系及药剂和</w:t>
      </w:r>
      <w:r>
        <w:rPr>
          <w:rFonts w:hint="eastAsia" w:cs="楷体"/>
          <w:b w:val="0"/>
          <w:bCs w:val="0"/>
          <w:sz w:val="22"/>
          <w:szCs w:val="22"/>
          <w:lang w:val="en-US" w:eastAsia="zh-CN"/>
        </w:rPr>
        <w:t>财务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费用下降。</w:t>
      </w:r>
    </w:p>
    <w:p w14:paraId="587EB825">
      <w:pPr>
        <w:spacing w:after="100"/>
        <w:rPr>
          <w:rFonts w:hint="eastAsia" w:ascii="楷体" w:hAnsi="楷体" w:eastAsia="楷体" w:cs="楷体"/>
        </w:rPr>
      </w:pPr>
      <w:r>
        <w:rPr>
          <w:rFonts w:hint="eastAsia" w:cs="楷体"/>
          <w:b/>
          <w:bCs/>
          <w:sz w:val="22"/>
          <w:szCs w:val="22"/>
          <w:lang w:val="en-US" w:eastAsia="zh-CN"/>
        </w:rPr>
        <w:t>产品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价格：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2025年均价7,427元/吨（同比+8.2%），Q1均价7,714元/吨（同比+8.3%），当前</w:t>
      </w:r>
      <w:r>
        <w:rPr>
          <w:rFonts w:hint="eastAsia" w:cs="楷体"/>
          <w:b w:val="0"/>
          <w:bCs w:val="0"/>
          <w:sz w:val="22"/>
          <w:szCs w:val="22"/>
          <w:lang w:val="en-US" w:eastAsia="zh-CN"/>
        </w:rPr>
        <w:t>最新5月底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约8,000元/吨。</w:t>
      </w:r>
    </w:p>
    <w:p w14:paraId="3828B566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毛利率：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资产油脂毛利率Q1达到42%（高位），2025年约40%，2023年仅不到30%。毛利率提升主要来自产能利用率提升以及生产成本下降。</w:t>
      </w:r>
    </w:p>
    <w:p w14:paraId="4D552648">
      <w:pPr>
        <w:spacing w:before="280" w:after="12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2. 单吨盈利情况如何？盈亏平衡线在什么水平？</w:t>
      </w:r>
    </w:p>
    <w:p w14:paraId="01556A0A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集团层面完全盈亏平衡线已降至6,000元/吨以下（2023年最高时7,300元/吨左右），目标2028年降至4,500元/吨。按8,000元/吨售价</w:t>
      </w:r>
      <w:r>
        <w:rPr>
          <w:rFonts w:hint="eastAsia" w:cs="楷体"/>
          <w:b w:val="0"/>
          <w:bCs w:val="0"/>
          <w:sz w:val="22"/>
          <w:szCs w:val="22"/>
          <w:lang w:val="en-US" w:eastAsia="zh-CN"/>
        </w:rPr>
        <w:t>测算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，当前单吨净利润约2,000元。若2028年成本降至4,500元且价格不变，单吨利润可达3,500元。</w:t>
      </w:r>
    </w:p>
    <w:p w14:paraId="2685473A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3. 上游废油来源情况？城市油田战略是什么？</w:t>
      </w:r>
    </w:p>
    <w:p w14:paraId="7D55EFC6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行业整体约400多万吨废油脂，主要来源并非正规餐厨企业（正规产油仅百万吨级），而是分散的小型商户。公司目前17个餐厨厂特许经营范围内理论油脂总量40多万吨，实际仅收上来9万吨，泔水油基本做到应收尽收，但杂货店、火锅店等社会分散油源尚未覆盖。</w:t>
      </w:r>
    </w:p>
    <w:p w14:paraId="3291067B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城市油田战略</w:t>
      </w: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简介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以市场化手段收购社会分散废油，轻资产模式，无需新增资本开支，产线都是现成的。市场化收油毛利率十几个点，不同商户差异大——小型店铺可赚2,000-3,000元/吨，大客户如海底捞可能只赚1,000多元/吨。核心逻辑是通过源头垄断废油获取对下游的议价权。当前市占率约3%（行业第一），若17个厂做到极致可达10%，产能再翻倍可到20%。</w:t>
      </w:r>
    </w:p>
    <w:p w14:paraId="67A551D4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4. 提油率还有提升空间吗？</w:t>
      </w:r>
    </w:p>
    <w:p w14:paraId="66B050C7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区域差异显著：兰州项目TOD达6.86（综合8），西南地区一般6-7个点，天津山东等清淡饮食区域偏低。核心影响因素排序：饮食习惯 &gt; 运营管理（收益权是否在自己手中）&gt; 技术。水利制浆技术可再提升0.2-0.3个点，但更大的空间在于打击跑冒滴漏、安装隔油池、推进城市油田。仅靠存量提油率优化，不含市场化收油，油脂产量可增至10万吨以上（当前9万吨），每年自产油脂自然增长4,000-5,000吨。</w:t>
      </w:r>
    </w:p>
    <w:p w14:paraId="742DCEED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5. 代加工业务（小油贩子来料加工）情况如何？</w:t>
      </w:r>
    </w:p>
    <w:p w14:paraId="4B520A19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小油贩子将废油拉到公司厂区加工，收取加工费800-1,000元/吨。成本极低（产线本就存在），增量利润明确。当前规模不到1万吨，但被视为重要的增量市场。欧盟UDB电子追溯系统推行后，不合规的小油贩子更难生存，有望被收编或转为代加工。</w:t>
      </w:r>
    </w:p>
    <w:p w14:paraId="2B0844C3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6. 产能扩张与并购进展如何？目标能完成吗？</w:t>
      </w:r>
    </w:p>
    <w:p w14:paraId="1B9C73FC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当前设计产能5,610吨/日，实际约5,000吨/日，目标2028年达8,000-10,000吨/日。储备项目超万吨，主要来自大型集团剥离的非核心餐厨资产（垃圾焚烧或其他集团旗下零星项目），这类项目收入占集团总盘子可能只有三四个点，对方没必要在上面花管理精力。2022年油价9,000-10,000时收了3,000吨项目，现在均已盈利且达预期回报，当前油价8,000元报价不会高于当年。</w:t>
      </w:r>
    </w:p>
    <w:p w14:paraId="06F73F69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202</w:t>
      </w:r>
      <w:r>
        <w:rPr>
          <w:rFonts w:hint="eastAsia" w:ascii="楷体" w:hAnsi="楷体" w:eastAsia="楷体" w:cs="楷体"/>
          <w:b/>
          <w:bCs/>
          <w:sz w:val="22"/>
          <w:szCs w:val="22"/>
          <w:shd w:val="clear" w:color="auto" w:fill="auto"/>
          <w:lang w:val="en-US" w:eastAsia="zh-CN"/>
        </w:rPr>
        <w:t>6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年</w:t>
      </w: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最新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进展：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上半年预计落地衡阳等项目，全年合计新增约2,000吨/日，下半年陆陆续续落地三四个，单体体量200-500吨不等。区域以南方为主（湖北、湖南、江苏、四川、云贵）。</w:t>
      </w:r>
    </w:p>
    <w:p w14:paraId="4F31266E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定增</w:t>
      </w:r>
      <w:r>
        <w:rPr>
          <w:rFonts w:hint="eastAsia" w:ascii="楷体" w:hAnsi="楷体" w:eastAsia="楷体" w:cs="楷体"/>
          <w:b/>
          <w:bCs/>
          <w:sz w:val="22"/>
          <w:szCs w:val="22"/>
          <w:lang w:val="en-US" w:eastAsia="zh-CN"/>
        </w:rPr>
        <w:t>项目</w:t>
      </w:r>
      <w:r>
        <w:rPr>
          <w:rFonts w:hint="eastAsia" w:ascii="楷体" w:hAnsi="楷体" w:eastAsia="楷体" w:cs="楷体"/>
          <w:b/>
          <w:bCs/>
          <w:sz w:val="22"/>
          <w:szCs w:val="22"/>
        </w:rPr>
        <w:t>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交易所已同意，近期有望拿到批文，发完之后将加速并购，短期内无需再融资。1万吨不是上限，是集团给管理层的考核目标，实际可能做到1.2-1.5万吨。</w:t>
      </w:r>
    </w:p>
    <w:p w14:paraId="3254F413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7. 废油脂（UCO）价格怎么看？未来走势如何？</w:t>
      </w:r>
    </w:p>
    <w:p w14:paraId="5A715410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UCO本质是“能源品+绿色溢价”定价，碳税关联最大，油价关联次之。历史区间正常7,000-9,000元/吨，最高11,000元（2022年），最低约6,800-7,000元。当前8,000元/吨，公司个人观点看涨。UCO始终供不应求，多家SAF企业已来谈锁量长协，但公司不愿锁价。</w:t>
      </w:r>
    </w:p>
    <w:p w14:paraId="78AB7EDF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供需拐点：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预计2026年下半年或2027年上半年体现，SAF大规模投产拉动需求。红海航运若打通运费下降100-200美元，UCO可涨至8,500-8,600元/吨。国内SAF强制掺混政策不要抱太大预期，更多是情绪催化。</w:t>
      </w:r>
    </w:p>
    <w:p w14:paraId="4FCB7522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价格区间：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最高时到过1.1万/吨，近五年均价也在7,000以上，正常区间7,000-9,000元。即使最差的时候（特朗普加征关税、SAF政策还没实施）也有7,000元。</w:t>
      </w:r>
    </w:p>
    <w:p w14:paraId="6CA742A3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8. 公司的合规壁垒和竞争优势有哪些？</w:t>
      </w:r>
    </w:p>
    <w:p w14:paraId="0FBEBF35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EU的UDB电子追溯系统对正规企业是好事——公司每车餐厨垃圾都有溯源系统，政府实时监控，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  <w:lang w:val="en-US" w:eastAsia="zh-CN"/>
        </w:rPr>
        <w:t>而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小油贩子无法提供。税务方面，公司餐厨垃圾处理免税、废弃油脂销售增值税即征即退完全合规；小油贩子缺进项发票存在骗税风险，税务稽查对其是打击。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  <w:lang w:val="en-US" w:eastAsia="zh-CN"/>
        </w:rPr>
        <w:t>公司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ISCC认证已取得。核心护城河总结：正规牌照+溯源能力+运营体系+国企资金优势。行业越规范，对公司越有利，得废油者得天下。</w:t>
      </w:r>
    </w:p>
    <w:p w14:paraId="1D8E8D3A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9. 财务和现金流情况如何？负债率怎么降？</w:t>
      </w:r>
    </w:p>
    <w:p w14:paraId="2D1D50BE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负债规模约20亿，资产负债率70%+，目标降至62%-63%。当前融资利率3.8%，债务置换后有望降至2%+。2026年经营现金流预计4.5-5亿（含约3亿折旧摊销+并购摊销不影响现金流），定增完成后将享受3A信用评级。</w:t>
      </w:r>
    </w:p>
    <w:p w14:paraId="62B0D754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2"/>
          <w:szCs w:val="22"/>
        </w:rPr>
        <w:t>远期现金流：</w:t>
      </w: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内部模拟若实现万吨产能，年经营现金流可达12亿。存量项目资本开支极小（仅几千万技改维修），资本开支核心为并购。盈利后强制分红（国企要求）。</w:t>
      </w:r>
    </w:p>
    <w:p w14:paraId="1141A194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10. 远期展望和第二曲线有什么规划？</w:t>
      </w:r>
    </w:p>
    <w:p w14:paraId="3DA6A2D1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2028年目标达成后，餐厨存在天花板（市场份额20%+后小项目不值得收）。衍生业务储备包括1亿方沼气做绿氢、废渣做饲料（每吨成本再降20元，年化3,000万+），远期可能自建SAF产线（4-5年后，年产三四十万吨油时做20万吨SAF产线）。背靠高速集团1.8万亿资产，集团可能要求开辟第二赛道，但近两三年仍聚焦餐厨主业。</w:t>
      </w:r>
    </w:p>
    <w:p w14:paraId="4328D69C">
      <w:pPr>
        <w:spacing w:before="280" w:after="1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3"/>
          <w:szCs w:val="23"/>
        </w:rPr>
        <w:t>11. 公司的利润和估值怎么看？</w:t>
      </w:r>
    </w:p>
    <w:p w14:paraId="7EBCBE3F">
      <w:pPr>
        <w:spacing w:after="1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2"/>
          <w:szCs w:val="22"/>
        </w:rPr>
        <w:t>若2028年实现万吨产能目标，按单吨净利3,000-3,500元计算净利润有望达5-6亿+。公司认为十倍经营现金流（约12亿→120亿）是合理估值参考，按现有4.5-5亿经营现金流折现也值40亿+。管理层认为拿3个月以上胜率极高，适合赚业绩增长的钱而非估值波动的钱。</w:t>
      </w:r>
    </w:p>
    <w:p w14:paraId="40FE8C27">
      <w:pPr>
        <w:spacing w:before="40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6EB3E67"/>
    <w:rsid w:val="27133CF9"/>
    <w:rsid w:val="335D7E9A"/>
    <w:rsid w:val="3B825C11"/>
    <w:rsid w:val="3D0B609A"/>
    <w:rsid w:val="4FE70DC0"/>
    <w:rsid w:val="57AC6B77"/>
    <w:rsid w:val="62662018"/>
    <w:rsid w:val="7E7BED7B"/>
    <w:rsid w:val="FFD667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楷体" w:hAnsi="楷体" w:eastAsia="楷体" w:cs="楷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楷体" w:hAnsi="楷体" w:eastAsia="楷体" w:cs="楷体"/>
      <w:sz w:val="22"/>
      <w:szCs w:val="22"/>
    </w:rPr>
  </w:style>
  <w:style w:type="paragraph" w:styleId="2">
    <w:name w:val="heading 1"/>
    <w:next w:val="1"/>
    <w:qFormat/>
    <w:uiPriority w:val="0"/>
    <w:rPr>
      <w:rFonts w:ascii="楷体" w:hAnsi="楷体" w:eastAsia="楷体" w:cs="楷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楷体" w:hAnsi="楷体" w:eastAsia="楷体" w:cs="楷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楷体" w:hAnsi="楷体" w:eastAsia="楷体" w:cs="楷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楷体" w:hAnsi="楷体" w:eastAsia="楷体" w:cs="楷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楷体" w:hAnsi="楷体" w:eastAsia="楷体" w:cs="楷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楷体" w:hAnsi="楷体" w:eastAsia="楷体" w:cs="楷体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楷体" w:hAnsi="楷体" w:eastAsia="楷体" w:cs="楷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楷体" w:hAnsi="楷体" w:eastAsia="楷体" w:cs="楷体"/>
      <w:sz w:val="20"/>
      <w:szCs w:val="20"/>
    </w:rPr>
  </w:style>
  <w:style w:type="paragraph" w:styleId="10">
    <w:name w:val="Title"/>
    <w:qFormat/>
    <w:uiPriority w:val="0"/>
    <w:rPr>
      <w:rFonts w:ascii="楷体" w:hAnsi="楷体" w:eastAsia="楷体" w:cs="楷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楷体" w:hAnsi="楷体" w:eastAsia="楷体" w:cs="楷体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2337</Words>
  <Characters>2799</Characters>
  <TotalTime>15</TotalTime>
  <ScaleCrop>false</ScaleCrop>
  <LinksUpToDate>false</LinksUpToDate>
  <CharactersWithSpaces>2814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2026-06-02T03:43:07Z</dcterms:created>
  <dc:creator>Un-named</dc:creator>
  <cp:lastModifiedBy>企业用户_1153759262</cp:lastModifiedBy>
  <dcterms:modified xsi:type="dcterms:W3CDTF">2026-06-02T03:48:34Z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9C1A5CCC8F8E4EB9B3F8EF046ADB30C2_13</vt:lpwstr>
  </property>
  <property fmtid="{D5CDD505-2E9C-101B-9397-08002B2CF9AE}" pid="4" name="KSOTemplateDocerSaveRecord">
    <vt:lpwstr>eyJoZGlkIjoiNTllZGJhMjkzMTEwNWI4NDViNDRmNjdkM2Q3ZjMzNGUiLCJ1c2VySWQiOiIxNjQ1MTQ1NTQ3In0=</vt:lpwstr>
  </property>
</Properties>
</file>