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926C0">
      <w:pPr>
        <w:spacing w:after="8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山高环能调研纪要</w:t>
      </w:r>
    </w:p>
    <w:p w14:paraId="08124D58">
      <w:pPr>
        <w:spacing w:after="6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1"/>
          <w:szCs w:val="21"/>
        </w:rPr>
        <w:t>调研时间：2026年5-6月</w:t>
      </w:r>
    </w:p>
    <w:p w14:paraId="4B140CDB">
      <w:pPr>
        <w:spacing w:after="6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1"/>
          <w:szCs w:val="21"/>
        </w:rPr>
        <w:t>调研对象：山高环能 宋总</w:t>
      </w:r>
    </w:p>
    <w:p w14:paraId="1D0F87CF">
      <w:pPr>
        <w:spacing w:after="24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1"/>
          <w:szCs w:val="21"/>
        </w:rPr>
        <w:t>调研地点：线下交流访谈</w:t>
      </w:r>
    </w:p>
    <w:p w14:paraId="3FEB1199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1. 2026年Q1及近期经营数据如何？请拆解一下核心数据。</w:t>
      </w:r>
    </w:p>
    <w:p w14:paraId="09F020A1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401ABC72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Q1垃圾处理量35.9万吨（淡季，受寒假春节影响），同比+10%，纯存量增长不含并购。全年油脂产量预算9万吨，Q1自产2.06万吨，同比+16%，2025年全年7.87万吨同比+6.3%。产能利用率2025年86.8%（同比+7.4pct），Q1为78%（同比+1pct），4-5月接近88%-89%，高峰期90%+。TOD方面Q1达4.62，同比提升0.29，主要受益于水力制浆新技术及郑州/温江项目。生产成本2025年127元/吨（同比-9.48%），Q1降至121元/吨（同比-6.57%），得益于集团标准化运营体系及药剂和故障费用下降。</w:t>
      </w:r>
    </w:p>
    <w:p w14:paraId="587EB825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价格：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2025年均价7,427元/吨（同比+8.2%），Q1均价7,714元/吨（同比+8.3%），当前约8,000元/吨。</w:t>
      </w:r>
    </w:p>
    <w:p w14:paraId="3828B566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毛利率：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资产油脂毛利率Q1达到42%（高位），2025年约40%，2023年仅不到30%。毛利率提升主要来自产能利用率提升以及生产成本下降。</w:t>
      </w:r>
    </w:p>
    <w:p w14:paraId="441042CD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2. 单吨盈利情况如何？盈亏平衡线在什么水平？</w:t>
      </w:r>
    </w:p>
    <w:p w14:paraId="4D552648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01556A0A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集团层面完全盈亏平衡线已降至6,000元/吨以下（2023年最高时7,300元/吨左右），目标2028年降至4,500元/吨。按8,000元/吨售价，当前单吨净利润约2,000元。若2028年成本降至4,500元且价格不变，单吨利润可达3,500元。全年利润指引按现行油价约1亿+。</w:t>
      </w:r>
    </w:p>
    <w:p w14:paraId="4A4C0E02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3. 上游废油来源情况？城市油田战略是什么？</w:t>
      </w:r>
    </w:p>
    <w:p w14:paraId="2685473A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7D55EFC6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行业整体约400多万吨废油脂，主要来源并非正规餐厨企业（正规产油仅百万吨级），而是分散的小型商户。公司目前17个餐厨厂特许经营范围内理论油脂总量40多万吨，实际仅收上来9万吨，泔水油基本做到应收尽收，但杂货店、火锅店等社会分散油源尚未覆盖。</w:t>
      </w:r>
    </w:p>
    <w:p w14:paraId="3291067B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城市油田战略</w:t>
      </w: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简介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以市场化手段收购社会分散废油，轻资产模式，无需新增资本开支，产线都是现成的。市场化收油毛利率十几个点，不同商户差异大——小型店铺可赚2,000-3,000元/吨，大客户如海底捞可能只赚1,000多元/吨。核心逻辑是通过源头垄断废油获取对下游的议价权。当前市占率约3%（行业第一），若17个厂做到极致可达10%，产能再翻倍可到20%。</w:t>
      </w:r>
    </w:p>
    <w:p w14:paraId="67A551D4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4. 提油率还有提升空间吗？</w:t>
      </w:r>
    </w:p>
    <w:p w14:paraId="445CF2B8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66B050C7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区域差异显著：兰州项目TOD达6.86（综合8），西南地区一般6-7个点，天津山东等清淡饮食区域偏低。核心影响因素排序：饮食习惯 &gt; 运营管理（收益权是否在自己手中）&gt; 技术。水利制浆技术可再提升0.2-0.3个点，但更大的空间在于打击跑冒滴漏、安装隔油池、推进城市油田。仅靠存量提油率优化，不含市场化收油，油脂产量可增至10万吨以上（当前9万吨），每年自产油脂自然增长4,000-5,000吨。</w:t>
      </w:r>
    </w:p>
    <w:p w14:paraId="742DCEED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5. 代加工业务（小油贩子来料加工）情况如何？</w:t>
      </w:r>
    </w:p>
    <w:p w14:paraId="4C598A78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4B520A19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小油贩子将废油拉到公司厂区加工，收取加工费800-1,000元/吨。成本极低（产线本就存在），增量利润明确。当前规模不到1万吨，但被视为重要的增量市场。欧盟UDB电子追溯系统推行后，不合规的小油贩子更难生存，有望被收编或转为代加工。</w:t>
      </w:r>
    </w:p>
    <w:p w14:paraId="440F9241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6. 产能扩张与并购进展如何？目标能完成吗？</w:t>
      </w:r>
    </w:p>
    <w:p w14:paraId="2B0844C3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1B9C73FC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当前设计产能5,610吨/日，实际约5,000吨/日，目标2028年达8,000-10,000吨/日。储备项目超万吨，主要来自大型集团剥离的非核心餐厨资产（垃圾焚烧或其他集团旗下零星项目），这类项目收入占集团总盘子可能只有三四个点，对方没必要在上面花管理精力。2022年油价9,000-10,000时收了3,000吨项目，现在均已盈利且达预期回报，当前油价8,000元报价不会高于当年。</w:t>
      </w:r>
    </w:p>
    <w:p w14:paraId="06F73F69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202</w:t>
      </w:r>
      <w:r>
        <w:rPr>
          <w:rFonts w:hint="eastAsia" w:ascii="楷体" w:hAnsi="楷体" w:eastAsia="楷体" w:cs="楷体"/>
          <w:b/>
          <w:bCs/>
          <w:sz w:val="22"/>
          <w:szCs w:val="22"/>
          <w:shd w:val="clear" w:color="auto" w:fill="auto"/>
          <w:lang w:val="en-US" w:eastAsia="zh-CN"/>
        </w:rPr>
        <w:t>6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年</w:t>
      </w: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最新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进展：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上半年预计落地衡阳等项目，全年合计新增约2,000吨/日，下半年陆陆续续落地三四个，单体体量200-500吨不等。区域以南方为主（湖北、湖南、江苏、四川、云贵）。</w:t>
      </w:r>
    </w:p>
    <w:p w14:paraId="4F31266E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定增</w:t>
      </w: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项目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交易所已同意，近期有望拿到批文，发完之后将加速并购，短期内无需再融资。1万吨不是上限，是集团给管理层的考核目标，实际可能做到1.2-1.5万吨。</w:t>
      </w:r>
    </w:p>
    <w:p w14:paraId="5A5CD664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7. 废油脂（UCO）价格怎么看？未来走势如何？</w:t>
      </w:r>
    </w:p>
    <w:p w14:paraId="3254F413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5A715410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UCO本质是“能源品+绿色溢价”定价，碳税关联最大，油价关联次之。历史区间正常7,000-9,000元/吨，最高11,000元（2022年），最低约6,800-7,000元。当前8,000元/吨，公司个人观点看涨。UCO始终供不应求，多家SAF企业已来谈锁量长协，但公司不愿锁价。</w:t>
      </w:r>
    </w:p>
    <w:p w14:paraId="78AB7EDF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供需拐点：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预计2026年下半年或2027年上半年体现，SAF大规模投产拉动需求。红海航运若打通运费下降100-200美元，UCO可涨至8,500-8,600元/吨。国内SAF强制掺混政策不要抱太大预期，更多是情绪催化。</w:t>
      </w:r>
    </w:p>
    <w:p w14:paraId="4FCB7522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价格区间：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最高时到过1.1万/吨，近五年均价也在7,000以上，正常区间7,000-9,000元。即使最差的时候（特朗普加征关税、SAF政策还没实施）也有7,000元。</w:t>
      </w:r>
    </w:p>
    <w:p w14:paraId="635CD1EF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8. 公司的合规壁垒和竞争优势有哪些？</w:t>
      </w:r>
    </w:p>
    <w:p w14:paraId="6CA742A3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0FBEBF35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EU的UDB电子追溯系统对正规企业是好事——公司每车餐厨垃圾都有溯源系统，政府实时监控，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  <w:lang w:val="en-US" w:eastAsia="zh-CN"/>
        </w:rPr>
        <w:t>而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小油贩子无法提供。税务方面，公司餐厨垃圾处理免税、废弃油脂销售增值税即征即退完全合规；小油贩子缺进项发票存在骗税风险，税务稽查对其是打击。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  <w:lang w:val="en-US" w:eastAsia="zh-CN"/>
        </w:rPr>
        <w:t>公司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ISCC认证已取得。核心护城河总结：正规牌照+溯源能力+运营体系+国企资金优势。行业越规范，对公司越有利，得废油者得天下。</w:t>
      </w:r>
    </w:p>
    <w:p w14:paraId="28354EF7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9. 财务和现金流情况如何？负债率怎么降？</w:t>
      </w:r>
    </w:p>
    <w:p w14:paraId="1D8E8D3A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bookmarkStart w:id="0" w:name="_GoBack"/>
      <w:bookmarkEnd w:id="0"/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2D1D50BE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负债规模约20亿，资产负债率70%+，目标降至62%-63%。当前融资利率3.8%，债务置换后有望降至2%+。2026年经营现金流预计4.5-5亿（含约3亿折旧摊销+并购摊销不影响现金流），定增完成后将享受3A信用评级。</w:t>
      </w:r>
    </w:p>
    <w:p w14:paraId="62B0D754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远期现金流：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内部模拟若实现万吨产能，年经营现金流可达12亿。存量项目资本开支极小（仅几千万技改维修），资本开支核心为并购。盈利后强制分红（国企要求）。</w:t>
      </w:r>
    </w:p>
    <w:p w14:paraId="6AC06B52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10. 远期展望和第二曲线有什么规划？</w:t>
      </w:r>
    </w:p>
    <w:p w14:paraId="1141A194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3DA6A2D1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2028年目标达成后，餐厨存在天花板（市场份额20%+后小项目不值得收）。衍生业务储备包括1亿方沼气做绿氢、废渣做饲料（每吨成本再降20元，年化3,000万+），远期可能自建SAF产线（4-5年后，年产三四十万吨油时做20万吨SAF产线）。背靠高速集团1.8万亿资产，集团可能要求开辟第二赛道，但近两三年仍聚焦餐厨主业。</w:t>
      </w:r>
    </w:p>
    <w:p w14:paraId="6C2A205B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11. 公司的利润和估值怎么看？</w:t>
      </w:r>
    </w:p>
    <w:p w14:paraId="4328D69C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客户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</w:p>
    <w:p w14:paraId="7EBCBE3F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若2028年实现万吨产能目标，按单吨净利3,000-3,500元计算净利润有望达5-6亿+。公司认为十倍经营现金流（约12亿→120亿）是合理估值参考，按现有4.5-5亿经营现金流折现也值40亿+。管理层认为拿3个月以上胜率极高，适合赚业绩增长的钱而非估值波动的钱。</w:t>
      </w:r>
    </w:p>
    <w:p w14:paraId="40FE8C27">
      <w:pPr>
        <w:spacing w:before="40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KaiTi">
    <w:altName w:val="汉仪楷体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7BED7B"/>
    <w:rsid w:val="FFD667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KaiTi" w:hAnsi="KaiTi" w:eastAsia="KaiTi" w:cs="KaiT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KaiTi" w:hAnsi="KaiTi" w:eastAsia="KaiTi" w:cs="KaiTi"/>
      <w:sz w:val="22"/>
      <w:szCs w:val="22"/>
    </w:rPr>
  </w:style>
  <w:style w:type="paragraph" w:styleId="2">
    <w:name w:val="heading 1"/>
    <w:next w:val="1"/>
    <w:qFormat/>
    <w:uiPriority w:val="0"/>
    <w:rPr>
      <w:rFonts w:ascii="KaiTi" w:hAnsi="KaiTi" w:eastAsia="KaiTi" w:cs="KaiT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KaiTi" w:hAnsi="KaiTi" w:eastAsia="KaiTi" w:cs="KaiT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KaiTi" w:hAnsi="KaiTi" w:eastAsia="KaiTi" w:cs="KaiT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KaiTi" w:hAnsi="KaiTi" w:eastAsia="KaiTi" w:cs="KaiT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KaiTi" w:hAnsi="KaiTi" w:eastAsia="KaiTi" w:cs="KaiT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KaiTi" w:hAnsi="KaiTi" w:eastAsia="KaiTi" w:cs="KaiT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KaiTi" w:hAnsi="KaiTi" w:eastAsia="KaiTi" w:cs="KaiT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KaiTi" w:hAnsi="KaiTi" w:eastAsia="KaiTi" w:cs="KaiTi"/>
      <w:sz w:val="20"/>
      <w:szCs w:val="20"/>
    </w:rPr>
  </w:style>
  <w:style w:type="paragraph" w:styleId="10">
    <w:name w:val="Title"/>
    <w:qFormat/>
    <w:uiPriority w:val="0"/>
    <w:rPr>
      <w:rFonts w:ascii="KaiTi" w:hAnsi="KaiTi" w:eastAsia="KaiTi" w:cs="KaiT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KaiTi" w:hAnsi="KaiTi" w:eastAsia="KaiTi" w:cs="KaiTi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一生红蓝(王展鹏)</cp:lastModifiedBy>
  <dcterms:modified xsi:type="dcterms:W3CDTF">2026-06-02T11:21:25Z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ED4EC8C9CC07D3CAC34B1E6A0E3C002E_42</vt:lpwstr>
  </property>
</Properties>
</file>