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南蝠地形利用季节差异的论文框架</w:t>
      </w:r>
    </w:p>
    <w:p>
      <w:r>
        <w:rPr>
          <w:b w:val="0"/>
        </w:rPr>
        <w:t>2021年夏季与秋季研究方案  2026年10月14日修订</w:t>
      </w:r>
    </w:p>
    <w:p>
      <w:pPr>
        <w:pStyle w:val="Heading1"/>
      </w:pPr>
      <w:r>
        <w:t>1 文章的中心问题</w:t>
      </w:r>
    </w:p>
    <w:p>
      <w:r>
        <w:rPr>
          <w:b w:val="0"/>
        </w:rPr>
        <w:t>我们要回答的是：在食物资源和取食背景存在季节变化的条件下，南蝠对地形的使用关联及其强度是否随季节变化；如果存在变化，它具体体现在哪些地形特征和飞行过程中。</w:t>
      </w:r>
    </w:p>
    <w:p>
      <w:r>
        <w:rPr>
          <w:b w:val="0"/>
        </w:rPr>
        <w:t>既有研究已经为蝙蝠利用地形以及特定条件下的飞行收益提供了依据。我们的研究由此进入下一层问题：这种地形利用在不同季节背景下是否保持稳定。文章应围绕生态问题组织，垂直飞行状态是定位季节差异的分析维度。</w:t>
      </w:r>
    </w:p>
    <w:p>
      <w:r>
        <w:rPr>
          <w:b w:val="0"/>
        </w:rPr>
        <w:t>整篇文章的论证顺序为：已有地形利用证据 → 食物季节性带来的研究动机 → 两季整体地形使用关联及强度比较 → 差异的地形与行为表现 → 食物解释与其他可能解释的比较。</w:t>
      </w:r>
    </w:p>
    <w:p>
      <w:r>
        <w:rPr>
          <w:b w:val="0"/>
        </w:rPr>
        <w:t>当前适合使用的工作题目是“南蝠地形利用的季节差异及其行为表现”。英文可暂拟为“Seasonal variation in terrain use and its behavioural expression in bats”。在食物证据补齐后，可进一步在题目中体现季节性取食背景；暂不使用“食物变化驱动”或“节能收益”等需要额外检验的结论性措辞。</w:t>
      </w:r>
    </w:p>
    <w:p>
      <w:r>
        <w:rPr>
          <w:b w:val="0"/>
        </w:rPr>
        <w:t>本框架按新的研究问题重新安排既有分析。整体季节比较是需要建立或重新核验的主分析，不能直接把旧的总体模型换一个名称就视为已经完成。10月14日交接说明中的状态特异结果保留，作为解释季节差异的重要线索。</w:t>
      </w:r>
    </w:p>
    <w:p>
      <w:pPr>
        <w:pStyle w:val="Heading1"/>
      </w:pPr>
      <w:r>
        <w:t>2 与已有研究的衔接</w:t>
      </w:r>
    </w:p>
    <w:p>
      <w:r>
        <w:rPr>
          <w:b w:val="0"/>
        </w:rPr>
        <w:t>Roeleke等人的研究记录了特定蝙蝠的垂直飞行及其与山地地形的联系，采用可得地形对照，并讨论上升气流、导航和猎物等可能解释。它为“地形使用可以通过相对于可得背景的比较来研究”提供了方法和生态背景。[1]</w:t>
      </w:r>
    </w:p>
    <w:p>
      <w:r>
        <w:rPr>
          <w:b w:val="0"/>
        </w:rPr>
        <w:t>O’Mara等人的研究主题进一步涉及地形、夜间上升气流和飞行表现。已提供的补充材料区分地速、三维段速度和空速，展示了垂直风场、上升活动和速度的相关分析。它说明具体飞行收益需要与地形位置之外的风场或飞行测量相联系。这里已读到的是补充材料，正文中关于能量收益的具体表述仍需核对。[2]</w:t>
      </w:r>
    </w:p>
    <w:p>
      <w:r>
        <w:rPr>
          <w:b w:val="0"/>
        </w:rPr>
        <w:t>我们的潜在贡献是把这些已建立的地形利用问题放进季节性的取食背景中：同一研究系统中的地形使用是否具有季节条件性，这种变化是普遍分布于各类飞行活动，还是集中在某些地形特征或垂直活动中。</w:t>
      </w:r>
    </w:p>
    <w:p>
      <w:r>
        <w:rPr>
          <w:b w:val="0"/>
        </w:rPr>
        <w:t>这个定位不依赖“首次证明蝙蝠利用地形”。跨季节比较也不自动构成机制证据；文章的解释深度取决于食性、食物可得性及其与轨迹的对应程度。</w:t>
      </w:r>
    </w:p>
    <w:p>
      <w:pPr>
        <w:pStyle w:val="Heading1"/>
      </w:pPr>
      <w:r>
        <w:t>3 三个递进问题</w:t>
      </w:r>
    </w:p>
    <w:tbl>
      <w:tblPr>
        <w:tblW w:type="auto" w:w="0"/>
        <w:tblLayout w:type="fixed"/>
        <w:tblLook w:firstColumn="1" w:firstRow="1" w:lastColumn="0" w:lastRow="0" w:noHBand="0" w:noVBand="1" w:val="04A0"/>
        <w:tblBorders>
          <w:top w:val="single" w:sz="4" w:color="C5CDD3"/>
          <w:bottom w:val="single" w:sz="4" w:color="C5CDD3"/>
          <w:insideH w:val="single" w:sz="4" w:color="C5CDD3"/>
        </w:tblBorders>
      </w:tblPr>
      <w:tblGrid>
        <w:gridCol w:w="2381"/>
        <w:gridCol w:w="3798"/>
        <w:gridCol w:w="3793"/>
      </w:tblGrid>
      <w:tr>
        <w:trPr>
          <w:cantSplit/>
          <w:tblHeader/>
        </w:trPr>
        <w:tc>
          <w:tcPr>
            <w:tcW w:type="dxa" w:w="2381"/>
            <w:tcMar>
              <w:top w:w="65" w:type="dxa"/>
              <w:bottom w:w="65" w:type="dxa"/>
              <w:left w:w="90" w:type="dxa"/>
              <w:right w:w="90" w:type="dxa"/>
            </w:tcMar>
            <w:shd w:fill="EEF2F5"/>
          </w:tcPr>
          <w:p>
            <w:pPr>
              <w:keepNext/>
              <w:keepLines/>
              <w:spacing w:line="259" w:lineRule="auto" w:after="40"/>
            </w:pPr>
            <w:r>
              <w:rPr>
                <w:b/>
                <w:sz w:val="20"/>
              </w:rPr>
              <w:t>层次</w:t>
            </w:r>
          </w:p>
        </w:tc>
        <w:tc>
          <w:tcPr>
            <w:tcW w:type="dxa" w:w="3798"/>
            <w:tcMar>
              <w:top w:w="65" w:type="dxa"/>
              <w:bottom w:w="65" w:type="dxa"/>
              <w:left w:w="90" w:type="dxa"/>
              <w:right w:w="90" w:type="dxa"/>
            </w:tcMar>
            <w:shd w:fill="EEF2F5"/>
          </w:tcPr>
          <w:p>
            <w:pPr>
              <w:keepNext/>
              <w:keepLines/>
              <w:spacing w:line="259" w:lineRule="auto" w:after="40"/>
            </w:pPr>
            <w:r>
              <w:rPr>
                <w:b/>
                <w:sz w:val="20"/>
              </w:rPr>
              <w:t>核心问题</w:t>
            </w:r>
          </w:p>
        </w:tc>
        <w:tc>
          <w:tcPr>
            <w:tcW w:type="dxa" w:w="3793"/>
            <w:tcMar>
              <w:top w:w="65" w:type="dxa"/>
              <w:bottom w:w="65" w:type="dxa"/>
              <w:left w:w="90" w:type="dxa"/>
              <w:right w:w="90" w:type="dxa"/>
            </w:tcMar>
            <w:shd w:fill="EEF2F5"/>
          </w:tcPr>
          <w:p>
            <w:pPr>
              <w:keepNext/>
              <w:keepLines/>
              <w:spacing w:line="259" w:lineRule="auto" w:after="40"/>
            </w:pPr>
            <w:r>
              <w:rPr>
                <w:b/>
                <w:sz w:val="20"/>
              </w:rPr>
              <w:t>需要交付的证据</w:t>
            </w:r>
          </w:p>
        </w:tc>
      </w:tr>
      <w:tr>
        <w:trPr>
          <w:cantSplit/>
        </w:trPr>
        <w:tc>
          <w:tcPr>
            <w:tcW w:type="dxa" w:w="2381"/>
            <w:tcMar>
              <w:top w:w="65" w:type="dxa"/>
              <w:bottom w:w="65" w:type="dxa"/>
              <w:left w:w="90" w:type="dxa"/>
              <w:right w:w="90" w:type="dxa"/>
            </w:tcMar>
          </w:tcPr>
          <w:p>
            <w:pPr>
              <w:keepNext/>
              <w:keepLines/>
              <w:spacing w:line="259" w:lineRule="auto" w:after="40"/>
            </w:pPr>
            <w:r>
              <w:rPr>
                <w:b w:val="0"/>
                <w:sz w:val="20"/>
              </w:rPr>
              <w:t>第一层</w:t>
            </w:r>
          </w:p>
        </w:tc>
        <w:tc>
          <w:tcPr>
            <w:tcW w:type="dxa" w:w="3798"/>
            <w:tcMar>
              <w:top w:w="65" w:type="dxa"/>
              <w:bottom w:w="65" w:type="dxa"/>
              <w:left w:w="90" w:type="dxa"/>
              <w:right w:w="90" w:type="dxa"/>
            </w:tcMar>
          </w:tcPr>
          <w:p>
            <w:pPr>
              <w:keepNext/>
              <w:keepLines/>
              <w:spacing w:line="259" w:lineRule="auto" w:after="40"/>
            </w:pPr>
            <w:r>
              <w:rPr>
                <w:b w:val="0"/>
                <w:sz w:val="20"/>
              </w:rPr>
              <w:t>夏秋两季各自是否存在非随机的地形使用关联，关联强度是否不同</w:t>
            </w:r>
          </w:p>
        </w:tc>
        <w:tc>
          <w:tcPr>
            <w:tcW w:type="dxa" w:w="3793"/>
            <w:tcMar>
              <w:top w:w="65" w:type="dxa"/>
              <w:bottom w:w="65" w:type="dxa"/>
              <w:left w:w="90" w:type="dxa"/>
              <w:right w:w="90" w:type="dxa"/>
            </w:tcMar>
          </w:tcPr>
          <w:p>
            <w:pPr>
              <w:keepNext/>
              <w:keepLines/>
              <w:spacing w:line="259" w:lineRule="auto" w:after="40"/>
            </w:pPr>
            <w:r>
              <w:rPr>
                <w:b w:val="0"/>
                <w:sz w:val="20"/>
              </w:rPr>
              <w:t>每季使用与可得地形的比较，以及同一地形对比下的直接季节差异</w:t>
            </w:r>
          </w:p>
        </w:tc>
      </w:tr>
      <w:tr>
        <w:trPr>
          <w:cantSplit/>
        </w:trPr>
        <w:tc>
          <w:tcPr>
            <w:tcW w:type="dxa" w:w="2381"/>
            <w:tcMar>
              <w:top w:w="65" w:type="dxa"/>
              <w:bottom w:w="65" w:type="dxa"/>
              <w:left w:w="90" w:type="dxa"/>
              <w:right w:w="90" w:type="dxa"/>
            </w:tcMar>
          </w:tcPr>
          <w:p>
            <w:pPr>
              <w:keepNext/>
              <w:keepLines/>
              <w:spacing w:line="259" w:lineRule="auto" w:after="40"/>
            </w:pPr>
            <w:r>
              <w:rPr>
                <w:b w:val="0"/>
                <w:sz w:val="20"/>
              </w:rPr>
              <w:t>第二层</w:t>
            </w:r>
          </w:p>
        </w:tc>
        <w:tc>
          <w:tcPr>
            <w:tcW w:type="dxa" w:w="3798"/>
            <w:tcMar>
              <w:top w:w="65" w:type="dxa"/>
              <w:bottom w:w="65" w:type="dxa"/>
              <w:left w:w="90" w:type="dxa"/>
              <w:right w:w="90" w:type="dxa"/>
            </w:tcMar>
          </w:tcPr>
          <w:p>
            <w:pPr>
              <w:keepNext/>
              <w:keepLines/>
              <w:spacing w:line="259" w:lineRule="auto" w:after="40"/>
            </w:pPr>
            <w:r>
              <w:rPr>
                <w:b w:val="0"/>
                <w:sz w:val="20"/>
              </w:rPr>
              <w:t>季节差异具体体现在哪些方面</w:t>
            </w:r>
          </w:p>
        </w:tc>
        <w:tc>
          <w:tcPr>
            <w:tcW w:type="dxa" w:w="3793"/>
            <w:tcMar>
              <w:top w:w="65" w:type="dxa"/>
              <w:bottom w:w="65" w:type="dxa"/>
              <w:left w:w="90" w:type="dxa"/>
              <w:right w:w="90" w:type="dxa"/>
            </w:tcMar>
          </w:tcPr>
          <w:p>
            <w:pPr>
              <w:keepNext/>
              <w:keepLines/>
              <w:spacing w:line="259" w:lineRule="auto" w:after="40"/>
            </w:pPr>
            <w:r>
              <w:rPr>
                <w:b w:val="0"/>
                <w:sz w:val="20"/>
              </w:rPr>
              <w:t>地形属性、垂直状态组成、同状态关联及个体间一致性</w:t>
            </w:r>
          </w:p>
        </w:tc>
      </w:tr>
      <w:tr>
        <w:trPr>
          <w:cantSplit/>
        </w:trPr>
        <w:tc>
          <w:tcPr>
            <w:tcW w:type="dxa" w:w="2381"/>
            <w:tcMar>
              <w:top w:w="65" w:type="dxa"/>
              <w:bottom w:w="65" w:type="dxa"/>
              <w:left w:w="90" w:type="dxa"/>
              <w:right w:w="90" w:type="dxa"/>
            </w:tcMar>
          </w:tcPr>
          <w:p>
            <w:pPr>
              <w:keepNext w:val="0"/>
              <w:keepLines/>
              <w:spacing w:line="259" w:lineRule="auto" w:after="40"/>
            </w:pPr>
            <w:r>
              <w:rPr>
                <w:b w:val="0"/>
                <w:sz w:val="20"/>
              </w:rPr>
              <w:t>第三层</w:t>
            </w:r>
          </w:p>
        </w:tc>
        <w:tc>
          <w:tcPr>
            <w:tcW w:type="dxa" w:w="3798"/>
            <w:tcMar>
              <w:top w:w="65" w:type="dxa"/>
              <w:bottom w:w="65" w:type="dxa"/>
              <w:left w:w="90" w:type="dxa"/>
              <w:right w:w="90" w:type="dxa"/>
            </w:tcMar>
          </w:tcPr>
          <w:p>
            <w:pPr>
              <w:keepNext w:val="0"/>
              <w:keepLines/>
              <w:spacing w:line="259" w:lineRule="auto" w:after="40"/>
            </w:pPr>
            <w:r>
              <w:rPr>
                <w:b w:val="0"/>
                <w:sz w:val="20"/>
              </w:rPr>
              <w:t>差异与食物季节变化如何联系</w:t>
            </w:r>
          </w:p>
        </w:tc>
        <w:tc>
          <w:tcPr>
            <w:tcW w:type="dxa" w:w="3793"/>
            <w:tcMar>
              <w:top w:w="65" w:type="dxa"/>
              <w:bottom w:w="65" w:type="dxa"/>
              <w:left w:w="90" w:type="dxa"/>
              <w:right w:w="90" w:type="dxa"/>
            </w:tcMar>
          </w:tcPr>
          <w:p>
            <w:pPr>
              <w:keepNext w:val="0"/>
              <w:keepLines/>
              <w:spacing w:line="259" w:lineRule="auto" w:after="40"/>
            </w:pPr>
            <w:r>
              <w:rPr>
                <w:b w:val="0"/>
                <w:sz w:val="20"/>
              </w:rPr>
              <w:t>食性或资源证据与行为结果的对应，并评估风、个体和空间背景等其他解释</w:t>
            </w:r>
          </w:p>
        </w:tc>
      </w:tr>
    </w:tbl>
    <w:p>
      <w:pPr>
        <w:spacing w:after="20"/>
      </w:pPr>
    </w:p>
    <w:p>
      <w:r>
        <w:rPr>
          <w:b w:val="0"/>
        </w:rPr>
        <w:t>第一层建立要解释的现象，第二层定位现象发生的位置和过程，第三层讨论或检验生态原因。当前状态模型主要覆盖第二层的一部分，不能独立承担整篇文章的第一层结论。</w:t>
      </w:r>
    </w:p>
    <w:p>
      <w:r>
        <w:rPr>
          <w:b w:val="0"/>
        </w:rPr>
        <w:t>“是否使用地形”在本文操作化为：在明确的可得背景内，使用地点是否表现出与地形相关的非随机分布。轨迹出现在山地并不足以支持这一判断；区间很宽或跨零也不能证明完全不使用地形。</w:t>
      </w:r>
    </w:p>
    <w:p>
      <w:r>
        <w:rPr>
          <w:b w:val="0"/>
        </w:rPr>
        <w:t>“使用程度”至少要分成两种可报告的量。其一是使用量，例如某地形范围内的活动时间占比；其二是选择强度，即相对于可得背景的地形使用关联。某类地形本来就多时，使用量高而选择强度弱是可能的。正文以相对使用关联作为主要推断，时间占比作为互补描述。</w:t>
      </w:r>
    </w:p>
    <w:p>
      <w:r>
        <w:rPr>
          <w:b w:val="0"/>
        </w:rPr>
        <w:t>四个地形变量分别描述地面高程、坡度、局部地形位置和粗糙度。不能把更大的高程系数简单写成更强的总体地形依赖，也不能以显著变量个数或p值大小排序两季的使用程度。</w:t>
      </w:r>
    </w:p>
    <w:p>
      <w:pPr>
        <w:pStyle w:val="Heading1"/>
      </w:pPr>
      <w:r>
        <w:t>4 引言的整体写法</w:t>
      </w:r>
    </w:p>
    <w:p>
      <w:r>
        <w:rPr>
          <w:b w:val="0"/>
        </w:rPr>
        <w:t>引言按照“已有认识—尚待比较的条件—本研究问题”收束。建议采用四个段落，每段承担明确的论证任务。</w:t>
      </w:r>
    </w:p>
    <w:p>
      <w:r>
        <w:rPr>
          <w:b w:val="0"/>
        </w:rPr>
        <w:t>第一段说明地形是飞行动物活动的空间背景。地形可以与路径、垂直运动和风场条件相关，使某些位置在特定活动中具有利用价值。只保留能够引出本文问题的背景，不从蝙蝠全部生态功能开始铺陈。</w:t>
      </w:r>
    </w:p>
    <w:p>
      <w:r>
        <w:rPr>
          <w:b w:val="0"/>
        </w:rPr>
        <w:t>第二段准确承接已有研究。概括已发表工作如何证明地形使用，以及用什么测量讨论飞行收益；随后提出本文关注的条件：这些地形利用关系在不同季节的取食背景下是否保持一致。这里承认前人贡献，把创新落在比较问题及其解释上。</w:t>
      </w:r>
    </w:p>
    <w:p>
      <w:r>
        <w:rPr>
          <w:b w:val="0"/>
        </w:rPr>
        <w:t>第三段介绍南蝠的研究价值。用户已指出夏秋存在食物差异，因此可以提出资源或食性背景改变可能伴随搜索位置、飞行活动和地形使用的变化。但“食物可得性变化”和“实际食性变化”应由各自证据支持，不能互相替代。具体食物组成及其文献或实测来源需补齐后再写成事实性段落。</w:t>
      </w:r>
    </w:p>
    <w:p>
      <w:r>
        <w:rPr>
          <w:b w:val="0"/>
        </w:rPr>
        <w:t>第四段提出两个直接研究目标：比较两季整体地形使用关联及强度；确定季节差异集中在哪些地形属性与垂直飞行过程。食物数据能够与个体或日期对应时，再增加直接检验食物关联的目标；否则将其作为研究动机和讨论中的解释。</w:t>
      </w:r>
    </w:p>
    <w:p>
      <w:pPr>
        <w:pStyle w:val="Heading2"/>
      </w:pPr>
      <w:r>
        <w:t>引言收束段示例</w:t>
      </w:r>
    </w:p>
    <w:p>
      <w:r>
        <w:rPr>
          <w:b w:val="0"/>
        </w:rPr>
        <w:t>“基于南蝠在2021年夏季和秋季的追踪记录，我们比较两个季节中地形使用相对于可得背景的差异，并进一步考察这些差异是否集中于特定地形属性和垂直飞行状态。首先，我们估计两季的整体地形使用关联，并在共同的比较尺度上评估其季节差异；随后，我们结合上升、近水平和下降状态，分析行为组成及状态内地形关联的变化。通过这一分析框架，我们评估地形利用在不同季节背景下的变化特征，并讨论其与食物季节性之间的可能联系。”</w:t>
      </w:r>
    </w:p>
    <w:p>
      <w:r>
        <w:rPr>
          <w:b w:val="0"/>
        </w:rPr>
        <w:t>这段是研究目标草稿。具体结果、食物类型和收益机制尚未作为已证实事实填入。</w:t>
      </w:r>
    </w:p>
    <w:p>
      <w:pPr>
        <w:pStyle w:val="Heading1"/>
      </w:pPr>
      <w:r>
        <w:t>5 结果章节的证据顺序</w:t>
      </w:r>
    </w:p>
    <w:p>
      <w:pPr>
        <w:pStyle w:val="Heading2"/>
      </w:pPr>
      <w:r>
        <w:t>结果一 两季追踪样本及其可得地形背景</w:t>
      </w:r>
    </w:p>
    <w:p>
      <w:r>
        <w:rPr>
          <w:b w:val="0"/>
        </w:rPr>
        <w:t>先交代个体、连续段、采样覆盖和两季可得地形分布。此处的任务是使读者能够判断比较是否有共同基础，并非报告越多描述统计越好。若两季所在区域或可得地形不同，要在核心结果前交代。</w:t>
      </w:r>
    </w:p>
    <w:p>
      <w:pPr>
        <w:pStyle w:val="Heading2"/>
      </w:pPr>
      <w:r>
        <w:t>结果二 两季整体地形使用关联及强度</w:t>
      </w:r>
    </w:p>
    <w:p>
      <w:r>
        <w:rPr>
          <w:b w:val="0"/>
        </w:rPr>
        <w:t>这是新版论文的主结果。分别估计夏秋使用点相对于可得点的地形关联，同时直接估计季节差异。比较同一地形属性、同一单位或共同梯度下的效应量及不确定性，而不是比较两季各自是否达到某个显著性阈值。</w:t>
      </w:r>
    </w:p>
    <w:p>
      <w:r>
        <w:rPr>
          <w:b w:val="0"/>
        </w:rPr>
        <w:t>如果某一地形变量的季节差异明确，结论应先限定于该变量及可得背景。若多个变量呈不同方向变化，应报告地形利用特征的改变，不能强行总结为某一季“总体利用更多”。这部分无论出现强、弱或不确定证据，都应进入正文。</w:t>
      </w:r>
    </w:p>
    <w:p>
      <w:pPr>
        <w:pStyle w:val="Heading2"/>
      </w:pPr>
      <w:r>
        <w:t>结果三 季节差异的地形与飞行状态表现</w:t>
      </w:r>
    </w:p>
    <w:p>
      <w:r>
        <w:rPr>
          <w:b w:val="0"/>
        </w:rPr>
        <w:t>进一步回答变化发生在哪里，以及发生于什么飞行过程。先看地面高程、坡度、TPI和粗糙度中哪些属性呈现变化；再看上升、近水平和下降活动的组成，以及同一状态下的地形关联是否改变。</w:t>
      </w:r>
    </w:p>
    <w:p>
      <w:r>
        <w:rPr>
          <w:b w:val="0"/>
        </w:rPr>
        <w:t>例如，某季总体更常见于较高地面高程，可能来自上升活动所占时间增加，也可能来自上升态本身的地形关联变化，还可能二者共同存在。区分这两种来源有助于解释总体差异。记录点数不能直接充当活动时间，需要按时间间隔及连续段处理。</w:t>
      </w:r>
    </w:p>
    <w:p>
      <w:pPr>
        <w:pStyle w:val="Heading2"/>
      </w:pPr>
      <w:r>
        <w:t>结果四 个体一致性与食物证据的对应</w:t>
      </w:r>
    </w:p>
    <w:p>
      <w:r>
        <w:rPr>
          <w:b w:val="0"/>
        </w:rPr>
        <w:t>展示主要差异是否由少数个体主导。若存在可匹配的食性或资源数据，可在此报告食物指标与地形或行为变化的关联。如果食物证据只有文献背景，则不设置一个没有数据支持的“食物驱动结果”章节，而把解释放入讨论。</w:t>
      </w:r>
    </w:p>
    <w:p>
      <w:r>
        <w:rPr>
          <w:b w:val="0"/>
        </w:rPr>
        <w:t>当前只有NENU022在两季重复出现这一信息来自交接说明。因此主要比较是季节样本之间的差异，不能写成对同一群个体季节调整的完整追踪。</w:t>
      </w:r>
    </w:p>
    <w:p>
      <w:pPr>
        <w:pStyle w:val="Heading1"/>
      </w:pPr>
      <w:r>
        <w:t>6 如何安排食物季节性这一条解释</w:t>
      </w:r>
    </w:p>
    <w:p>
      <w:r>
        <w:rPr>
          <w:b w:val="0"/>
        </w:rPr>
        <w:t>食物问题应贯穿研究动机、预测和讨论，但结论强度由证据决定。资源可得性表示环境中有什么及其时空分布；食性表示蝙蝠实际吃了什么。粪便食性记录本身不能直接证明环境食物资源增加或减少。</w:t>
      </w:r>
    </w:p>
    <w:tbl>
      <w:tblPr>
        <w:tblW w:type="auto" w:w="0"/>
        <w:tblLayout w:type="fixed"/>
        <w:tblLook w:firstColumn="1" w:firstRow="1" w:lastColumn="0" w:lastRow="0" w:noHBand="0" w:noVBand="1" w:val="04A0"/>
        <w:tblBorders>
          <w:top w:val="single" w:sz="4" w:color="C5CDD3"/>
          <w:bottom w:val="single" w:sz="4" w:color="C5CDD3"/>
          <w:insideH w:val="single" w:sz="4" w:color="C5CDD3"/>
        </w:tblBorders>
      </w:tblPr>
      <w:tblGrid>
        <w:gridCol w:w="2381"/>
        <w:gridCol w:w="3798"/>
        <w:gridCol w:w="3793"/>
      </w:tblGrid>
      <w:tr>
        <w:trPr>
          <w:cantSplit/>
          <w:tblHeader/>
        </w:trPr>
        <w:tc>
          <w:tcPr>
            <w:tcW w:type="dxa" w:w="2381"/>
            <w:tcMar>
              <w:top w:w="65" w:type="dxa"/>
              <w:bottom w:w="65" w:type="dxa"/>
              <w:left w:w="90" w:type="dxa"/>
              <w:right w:w="90" w:type="dxa"/>
            </w:tcMar>
            <w:shd w:fill="EEF2F5"/>
          </w:tcPr>
          <w:p>
            <w:pPr>
              <w:keepNext/>
              <w:keepLines/>
              <w:spacing w:line="259" w:lineRule="auto" w:after="40"/>
            </w:pPr>
            <w:r>
              <w:rPr>
                <w:b/>
                <w:sz w:val="20"/>
              </w:rPr>
              <w:t>已有食物证据</w:t>
            </w:r>
          </w:p>
        </w:tc>
        <w:tc>
          <w:tcPr>
            <w:tcW w:type="dxa" w:w="3798"/>
            <w:tcMar>
              <w:top w:w="65" w:type="dxa"/>
              <w:bottom w:w="65" w:type="dxa"/>
              <w:left w:w="90" w:type="dxa"/>
              <w:right w:w="90" w:type="dxa"/>
            </w:tcMar>
            <w:shd w:fill="EEF2F5"/>
          </w:tcPr>
          <w:p>
            <w:pPr>
              <w:keepNext/>
              <w:keepLines/>
              <w:spacing w:line="259" w:lineRule="auto" w:after="40"/>
            </w:pPr>
            <w:r>
              <w:rPr>
                <w:b/>
                <w:sz w:val="20"/>
              </w:rPr>
              <w:t>可以承担的角色</w:t>
            </w:r>
          </w:p>
        </w:tc>
        <w:tc>
          <w:tcPr>
            <w:tcW w:type="dxa" w:w="3793"/>
            <w:tcMar>
              <w:top w:w="65" w:type="dxa"/>
              <w:bottom w:w="65" w:type="dxa"/>
              <w:left w:w="90" w:type="dxa"/>
              <w:right w:w="90" w:type="dxa"/>
            </w:tcMar>
            <w:shd w:fill="EEF2F5"/>
          </w:tcPr>
          <w:p>
            <w:pPr>
              <w:keepNext/>
              <w:keepLines/>
              <w:spacing w:line="259" w:lineRule="auto" w:after="40"/>
            </w:pPr>
            <w:r>
              <w:rPr>
                <w:b/>
                <w:sz w:val="20"/>
              </w:rPr>
              <w:t>合理表述</w:t>
            </w:r>
          </w:p>
        </w:tc>
      </w:tr>
      <w:tr>
        <w:trPr>
          <w:cantSplit/>
        </w:trPr>
        <w:tc>
          <w:tcPr>
            <w:tcW w:type="dxa" w:w="2381"/>
            <w:tcMar>
              <w:top w:w="65" w:type="dxa"/>
              <w:bottom w:w="65" w:type="dxa"/>
              <w:left w:w="90" w:type="dxa"/>
              <w:right w:w="90" w:type="dxa"/>
            </w:tcMar>
          </w:tcPr>
          <w:p>
            <w:pPr>
              <w:keepNext/>
              <w:keepLines/>
              <w:spacing w:line="259" w:lineRule="auto" w:after="40"/>
            </w:pPr>
            <w:r>
              <w:rPr>
                <w:b w:val="0"/>
                <w:sz w:val="20"/>
              </w:rPr>
              <w:t>只有已有文献或自然史认识</w:t>
            </w:r>
          </w:p>
        </w:tc>
        <w:tc>
          <w:tcPr>
            <w:tcW w:type="dxa" w:w="3798"/>
            <w:tcMar>
              <w:top w:w="65" w:type="dxa"/>
              <w:bottom w:w="65" w:type="dxa"/>
              <w:left w:w="90" w:type="dxa"/>
              <w:right w:w="90" w:type="dxa"/>
            </w:tcMar>
          </w:tcPr>
          <w:p>
            <w:pPr>
              <w:keepNext/>
              <w:keepLines/>
              <w:spacing w:line="259" w:lineRule="auto" w:after="40"/>
            </w:pPr>
            <w:r>
              <w:rPr>
                <w:b w:val="0"/>
                <w:sz w:val="20"/>
              </w:rPr>
              <w:t>构成季节比较的研究动机，提出可能机制</w:t>
            </w:r>
          </w:p>
        </w:tc>
        <w:tc>
          <w:tcPr>
            <w:tcW w:type="dxa" w:w="3793"/>
            <w:tcMar>
              <w:top w:w="65" w:type="dxa"/>
              <w:bottom w:w="65" w:type="dxa"/>
              <w:left w:w="90" w:type="dxa"/>
              <w:right w:w="90" w:type="dxa"/>
            </w:tcMar>
          </w:tcPr>
          <w:p>
            <w:pPr>
              <w:keepNext/>
              <w:keepLines/>
              <w:spacing w:line="259" w:lineRule="auto" w:after="40"/>
            </w:pPr>
            <w:r>
              <w:rPr>
                <w:b w:val="0"/>
                <w:sz w:val="20"/>
              </w:rPr>
              <w:t>季节差异可能与取食背景变化有关</w:t>
            </w:r>
          </w:p>
        </w:tc>
      </w:tr>
      <w:tr>
        <w:trPr>
          <w:cantSplit/>
        </w:trPr>
        <w:tc>
          <w:tcPr>
            <w:tcW w:type="dxa" w:w="2381"/>
            <w:tcMar>
              <w:top w:w="65" w:type="dxa"/>
              <w:bottom w:w="65" w:type="dxa"/>
              <w:left w:w="90" w:type="dxa"/>
              <w:right w:w="90" w:type="dxa"/>
            </w:tcMar>
          </w:tcPr>
          <w:p>
            <w:pPr>
              <w:keepNext/>
              <w:keepLines/>
              <w:spacing w:line="259" w:lineRule="auto" w:after="40"/>
            </w:pPr>
            <w:r>
              <w:rPr>
                <w:b w:val="0"/>
                <w:sz w:val="20"/>
              </w:rPr>
              <w:t>有两季食性或资源数据，但不能对应追踪个体或日期</w:t>
            </w:r>
          </w:p>
        </w:tc>
        <w:tc>
          <w:tcPr>
            <w:tcW w:type="dxa" w:w="3798"/>
            <w:tcMar>
              <w:top w:w="65" w:type="dxa"/>
              <w:bottom w:w="65" w:type="dxa"/>
              <w:left w:w="90" w:type="dxa"/>
              <w:right w:w="90" w:type="dxa"/>
            </w:tcMar>
          </w:tcPr>
          <w:p>
            <w:pPr>
              <w:keepNext/>
              <w:keepLines/>
              <w:spacing w:line="259" w:lineRule="auto" w:after="40"/>
            </w:pPr>
            <w:r>
              <w:rPr>
                <w:b w:val="0"/>
                <w:sz w:val="20"/>
              </w:rPr>
              <w:t>展示季节背景与行为差异并存</w:t>
            </w:r>
          </w:p>
        </w:tc>
        <w:tc>
          <w:tcPr>
            <w:tcW w:type="dxa" w:w="3793"/>
            <w:tcMar>
              <w:top w:w="65" w:type="dxa"/>
              <w:bottom w:w="65" w:type="dxa"/>
              <w:left w:w="90" w:type="dxa"/>
              <w:right w:w="90" w:type="dxa"/>
            </w:tcMar>
          </w:tcPr>
          <w:p>
            <w:pPr>
              <w:keepNext/>
              <w:keepLines/>
              <w:spacing w:line="259" w:lineRule="auto" w:after="40"/>
            </w:pPr>
            <w:r>
              <w:rPr>
                <w:b w:val="0"/>
                <w:sz w:val="20"/>
              </w:rPr>
              <w:t>两种变化在季节层面相伴，不能区分共同的季节因素</w:t>
            </w:r>
          </w:p>
        </w:tc>
      </w:tr>
      <w:tr>
        <w:trPr>
          <w:cantSplit/>
        </w:trPr>
        <w:tc>
          <w:tcPr>
            <w:tcW w:type="dxa" w:w="2381"/>
            <w:tcMar>
              <w:top w:w="65" w:type="dxa"/>
              <w:bottom w:w="65" w:type="dxa"/>
              <w:left w:w="90" w:type="dxa"/>
              <w:right w:w="90" w:type="dxa"/>
            </w:tcMar>
          </w:tcPr>
          <w:p>
            <w:pPr>
              <w:keepNext w:val="0"/>
              <w:keepLines/>
              <w:spacing w:line="259" w:lineRule="auto" w:after="40"/>
            </w:pPr>
            <w:r>
              <w:rPr>
                <w:b w:val="0"/>
                <w:sz w:val="20"/>
              </w:rPr>
              <w:t>食物指标能对应个体或日期，且具有足够独立重复和季节内变化</w:t>
            </w:r>
          </w:p>
        </w:tc>
        <w:tc>
          <w:tcPr>
            <w:tcW w:type="dxa" w:w="3798"/>
            <w:tcMar>
              <w:top w:w="65" w:type="dxa"/>
              <w:bottom w:w="65" w:type="dxa"/>
              <w:left w:w="90" w:type="dxa"/>
              <w:right w:w="90" w:type="dxa"/>
            </w:tcMar>
          </w:tcPr>
          <w:p>
            <w:pPr>
              <w:keepNext w:val="0"/>
              <w:keepLines/>
              <w:spacing w:line="259" w:lineRule="auto" w:after="40"/>
            </w:pPr>
            <w:r>
              <w:rPr>
                <w:b w:val="0"/>
                <w:sz w:val="20"/>
              </w:rPr>
              <w:t>直接检验食物指标与地形关联的关系</w:t>
            </w:r>
          </w:p>
        </w:tc>
        <w:tc>
          <w:tcPr>
            <w:tcW w:type="dxa" w:w="3793"/>
            <w:tcMar>
              <w:top w:w="65" w:type="dxa"/>
              <w:bottom w:w="65" w:type="dxa"/>
              <w:left w:w="90" w:type="dxa"/>
              <w:right w:w="90" w:type="dxa"/>
            </w:tcMar>
          </w:tcPr>
          <w:p>
            <w:pPr>
              <w:keepNext w:val="0"/>
              <w:keepLines/>
              <w:spacing w:line="259" w:lineRule="auto" w:after="40"/>
            </w:pPr>
            <w:r>
              <w:rPr>
                <w:b w:val="0"/>
                <w:sz w:val="20"/>
              </w:rPr>
              <w:t>控制可识别因素后的关联支持某种解释，仍需讨论混杂</w:t>
            </w:r>
          </w:p>
        </w:tc>
      </w:tr>
    </w:tbl>
    <w:p>
      <w:pPr>
        <w:spacing w:after="20"/>
      </w:pPr>
    </w:p>
    <w:p>
      <w:r>
        <w:rPr>
          <w:b w:val="0"/>
        </w:rPr>
        <w:t>不能简单把所有夏季记录标记为一种食物、所有秋季记录标记为另一种食物，然后同时拟合“季节效应”和“食物效应”。如果两个标签完全重合，数据无法把它们的作用分开。</w:t>
      </w:r>
    </w:p>
    <w:p>
      <w:r>
        <w:rPr>
          <w:b w:val="0"/>
        </w:rPr>
        <w:t>在食物类型和分布尚未明确时，建议保留竞争性预测，而不预设秋季更依赖地形。一种可能是取食任务增加与特定地形相联系的飞行活动，使相对使用关联增强；另一种可能是食物活动空间使飞行更多发生于与地形关联较弱的位置；也可能整体强度变化不大，但利用的地形属性或飞行状态发生改变。</w:t>
      </w:r>
    </w:p>
    <w:p>
      <w:r>
        <w:rPr>
          <w:b w:val="0"/>
        </w:rPr>
        <w:t>这些是后续检验的解释方案。目前已看过部分状态结果，提出和调整分析应如实记录为探索性工作。结果没有支持预期方向时，也应据实修改生态解释。</w:t>
      </w:r>
    </w:p>
    <w:p>
      <w:pPr>
        <w:pStyle w:val="Heading1"/>
      </w:pPr>
      <w:r>
        <w:t>7 讨论应该回答什么</w:t>
      </w:r>
    </w:p>
    <w:p>
      <w:r>
        <w:rPr>
          <w:b w:val="0"/>
        </w:rPr>
        <w:t>讨论首先综合回答两季是否存在可识别的地形使用差异，并明确差异是关联强度、地形属性、状态组成还是状态内关系的变化。开头不重复所有系数，只保留支撑中心结论的比较。</w:t>
      </w:r>
    </w:p>
    <w:p>
      <w:r>
        <w:rPr>
          <w:b w:val="0"/>
        </w:rPr>
        <w:t>随后与前人工作对话：本研究在何种意义上支持已有地形利用认识，又在哪些季节或行为条件下补充了它的适用范围。若本文没有风场或能耗测量，就以飞行方式和地形关联为结论，不将前人的收益测量转写为本研究的直接发现。</w:t>
      </w:r>
    </w:p>
    <w:p>
      <w:r>
        <w:rPr>
          <w:b w:val="0"/>
        </w:rPr>
        <w:t>接下来讨论食物背景是否与观测到的变化相符，并认真比较其他解释。季节同时伴随个体组成、风和天气、取样时间、活动范围以及生理阶段等变化。只有实际记录的变量才进入模型；对缺失变量说明它们影响哪一项解释，而非写一份泛泛的限制清单。</w:t>
      </w:r>
    </w:p>
    <w:p>
      <w:r>
        <w:rPr>
          <w:b w:val="0"/>
        </w:rPr>
        <w:t>最后指出文章能推进的认识：地形利用可以作为受季节背景和具体活动共同影响的空间行为来研究。这个认识是否得到数据支持，要由整体比较及其行为定位共同决定。进一步的机制研究应优先补充能区分竞争解释的食物、局地风或行为测量。</w:t>
      </w:r>
    </w:p>
    <w:p>
      <w:pPr>
        <w:pStyle w:val="Heading1"/>
      </w:pPr>
      <w:r>
        <w:t>8 现有结果在新版中的位置</w:t>
      </w:r>
    </w:p>
    <w:tbl>
      <w:tblPr>
        <w:tblW w:type="auto" w:w="0"/>
        <w:tblLayout w:type="fixed"/>
        <w:tblLook w:firstColumn="1" w:firstRow="1" w:lastColumn="0" w:lastRow="0" w:noHBand="0" w:noVBand="1" w:val="04A0"/>
        <w:tblBorders>
          <w:top w:val="single" w:sz="4" w:color="C5CDD3"/>
          <w:bottom w:val="single" w:sz="4" w:color="C5CDD3"/>
          <w:insideH w:val="single" w:sz="4" w:color="C5CDD3"/>
        </w:tblBorders>
      </w:tblPr>
      <w:tblGrid>
        <w:gridCol w:w="2381"/>
        <w:gridCol w:w="3798"/>
        <w:gridCol w:w="3793"/>
      </w:tblGrid>
      <w:tr>
        <w:trPr>
          <w:cantSplit/>
          <w:tblHeader/>
        </w:trPr>
        <w:tc>
          <w:tcPr>
            <w:tcW w:type="dxa" w:w="2381"/>
            <w:tcMar>
              <w:top w:w="65" w:type="dxa"/>
              <w:bottom w:w="65" w:type="dxa"/>
              <w:left w:w="90" w:type="dxa"/>
              <w:right w:w="90" w:type="dxa"/>
            </w:tcMar>
            <w:shd w:fill="EEF2F5"/>
          </w:tcPr>
          <w:p>
            <w:pPr>
              <w:keepNext/>
              <w:keepLines/>
              <w:spacing w:line="259" w:lineRule="auto" w:after="40"/>
            </w:pPr>
            <w:r>
              <w:rPr>
                <w:b/>
                <w:sz w:val="20"/>
              </w:rPr>
              <w:t>当前材料或结果</w:t>
            </w:r>
          </w:p>
        </w:tc>
        <w:tc>
          <w:tcPr>
            <w:tcW w:type="dxa" w:w="3798"/>
            <w:tcMar>
              <w:top w:w="65" w:type="dxa"/>
              <w:bottom w:w="65" w:type="dxa"/>
              <w:left w:w="90" w:type="dxa"/>
              <w:right w:w="90" w:type="dxa"/>
            </w:tcMar>
            <w:shd w:fill="EEF2F5"/>
          </w:tcPr>
          <w:p>
            <w:pPr>
              <w:keepNext/>
              <w:keepLines/>
              <w:spacing w:line="259" w:lineRule="auto" w:after="40"/>
            </w:pPr>
            <w:r>
              <w:rPr>
                <w:b/>
                <w:sz w:val="20"/>
              </w:rPr>
              <w:t>新版文章中的用途</w:t>
            </w:r>
          </w:p>
        </w:tc>
        <w:tc>
          <w:tcPr>
            <w:tcW w:type="dxa" w:w="3793"/>
            <w:tcMar>
              <w:top w:w="65" w:type="dxa"/>
              <w:bottom w:w="65" w:type="dxa"/>
              <w:left w:w="90" w:type="dxa"/>
              <w:right w:w="90" w:type="dxa"/>
            </w:tcMar>
            <w:shd w:fill="EEF2F5"/>
          </w:tcPr>
          <w:p>
            <w:pPr>
              <w:keepNext/>
              <w:keepLines/>
              <w:spacing w:line="259" w:lineRule="auto" w:after="40"/>
            </w:pPr>
            <w:r>
              <w:rPr>
                <w:b/>
                <w:sz w:val="20"/>
              </w:rPr>
              <w:t>状态</w:t>
            </w:r>
          </w:p>
        </w:tc>
      </w:tr>
      <w:tr>
        <w:trPr>
          <w:cantSplit/>
        </w:trPr>
        <w:tc>
          <w:tcPr>
            <w:tcW w:type="dxa" w:w="2381"/>
            <w:tcMar>
              <w:top w:w="65" w:type="dxa"/>
              <w:bottom w:w="65" w:type="dxa"/>
              <w:left w:w="90" w:type="dxa"/>
              <w:right w:w="90" w:type="dxa"/>
            </w:tcMar>
          </w:tcPr>
          <w:p>
            <w:pPr>
              <w:keepNext/>
              <w:keepLines/>
              <w:spacing w:line="259" w:lineRule="auto" w:after="40"/>
            </w:pPr>
            <w:r>
              <w:rPr>
                <w:b w:val="0"/>
                <w:sz w:val="20"/>
              </w:rPr>
              <w:t>最新交接的状态样本表</w:t>
            </w:r>
          </w:p>
        </w:tc>
        <w:tc>
          <w:tcPr>
            <w:tcW w:type="dxa" w:w="3798"/>
            <w:tcMar>
              <w:top w:w="65" w:type="dxa"/>
              <w:bottom w:w="65" w:type="dxa"/>
              <w:left w:w="90" w:type="dxa"/>
              <w:right w:w="90" w:type="dxa"/>
            </w:tcMar>
          </w:tcPr>
          <w:p>
            <w:pPr>
              <w:keepNext/>
              <w:keepLines/>
              <w:spacing w:line="259" w:lineRule="auto" w:after="40"/>
            </w:pPr>
            <w:r>
              <w:rPr>
                <w:b w:val="0"/>
                <w:sz w:val="20"/>
              </w:rPr>
              <w:t>样本支持及各状态推断范围</w:t>
            </w:r>
          </w:p>
        </w:tc>
        <w:tc>
          <w:tcPr>
            <w:tcW w:type="dxa" w:w="3793"/>
            <w:tcMar>
              <w:top w:w="65" w:type="dxa"/>
              <w:bottom w:w="65" w:type="dxa"/>
              <w:left w:w="90" w:type="dxa"/>
              <w:right w:w="90" w:type="dxa"/>
            </w:tcMar>
          </w:tcPr>
          <w:p>
            <w:pPr>
              <w:keepNext/>
              <w:keepLines/>
              <w:spacing w:line="259" w:lineRule="auto" w:after="40"/>
            </w:pPr>
            <w:r>
              <w:rPr>
                <w:b w:val="0"/>
                <w:sz w:val="20"/>
              </w:rPr>
              <w:t>来自交接记录，待逐点数据核对</w:t>
            </w:r>
          </w:p>
        </w:tc>
      </w:tr>
      <w:tr>
        <w:trPr>
          <w:cantSplit/>
        </w:trPr>
        <w:tc>
          <w:tcPr>
            <w:tcW w:type="dxa" w:w="2381"/>
            <w:tcMar>
              <w:top w:w="65" w:type="dxa"/>
              <w:bottom w:w="65" w:type="dxa"/>
              <w:left w:w="90" w:type="dxa"/>
              <w:right w:w="90" w:type="dxa"/>
            </w:tcMar>
          </w:tcPr>
          <w:p>
            <w:pPr>
              <w:keepNext/>
              <w:keepLines/>
              <w:spacing w:line="259" w:lineRule="auto" w:after="40"/>
            </w:pPr>
            <w:r>
              <w:rPr>
                <w:b w:val="0"/>
                <w:sz w:val="20"/>
              </w:rPr>
              <w:t>夏季上升与TPI正关联，秋季上升及近水平与地面高程正关联</w:t>
            </w:r>
          </w:p>
        </w:tc>
        <w:tc>
          <w:tcPr>
            <w:tcW w:type="dxa" w:w="3798"/>
            <w:tcMar>
              <w:top w:w="65" w:type="dxa"/>
              <w:bottom w:w="65" w:type="dxa"/>
              <w:left w:w="90" w:type="dxa"/>
              <w:right w:w="90" w:type="dxa"/>
            </w:tcMar>
          </w:tcPr>
          <w:p>
            <w:pPr>
              <w:keepNext/>
              <w:keepLines/>
              <w:spacing w:line="259" w:lineRule="auto" w:after="40"/>
            </w:pPr>
            <w:r>
              <w:rPr>
                <w:b w:val="0"/>
                <w:sz w:val="20"/>
              </w:rPr>
              <w:t>结果三的地形与行为定位</w:t>
            </w:r>
          </w:p>
        </w:tc>
        <w:tc>
          <w:tcPr>
            <w:tcW w:type="dxa" w:w="3793"/>
            <w:tcMar>
              <w:top w:w="65" w:type="dxa"/>
              <w:bottom w:w="65" w:type="dxa"/>
              <w:left w:w="90" w:type="dxa"/>
              <w:right w:w="90" w:type="dxa"/>
            </w:tcMar>
          </w:tcPr>
          <w:p>
            <w:pPr>
              <w:keepNext/>
              <w:keepLines/>
              <w:spacing w:line="259" w:lineRule="auto" w:after="40"/>
            </w:pPr>
            <w:r>
              <w:rPr>
                <w:b w:val="0"/>
                <w:sz w:val="20"/>
              </w:rPr>
              <w:t>已有摘要结果，完整输出待复核</w:t>
            </w:r>
          </w:p>
        </w:tc>
      </w:tr>
      <w:tr>
        <w:trPr>
          <w:cantSplit/>
        </w:trPr>
        <w:tc>
          <w:tcPr>
            <w:tcW w:type="dxa" w:w="2381"/>
            <w:tcMar>
              <w:top w:w="65" w:type="dxa"/>
              <w:bottom w:w="65" w:type="dxa"/>
              <w:left w:w="90" w:type="dxa"/>
              <w:right w:w="90" w:type="dxa"/>
            </w:tcMar>
          </w:tcPr>
          <w:p>
            <w:pPr>
              <w:keepNext/>
              <w:keepLines/>
              <w:spacing w:line="259" w:lineRule="auto" w:after="40"/>
            </w:pPr>
            <w:r>
              <w:rPr>
                <w:b w:val="0"/>
                <w:sz w:val="20"/>
              </w:rPr>
              <w:t>上升态地面高程差值0.540，TPI差值−0.322</w:t>
            </w:r>
          </w:p>
        </w:tc>
        <w:tc>
          <w:tcPr>
            <w:tcW w:type="dxa" w:w="3798"/>
            <w:tcMar>
              <w:top w:w="65" w:type="dxa"/>
              <w:bottom w:w="65" w:type="dxa"/>
              <w:left w:w="90" w:type="dxa"/>
              <w:right w:w="90" w:type="dxa"/>
            </w:tcMar>
          </w:tcPr>
          <w:p>
            <w:pPr>
              <w:keepNext/>
              <w:keepLines/>
              <w:spacing w:line="259" w:lineRule="auto" w:after="40"/>
            </w:pPr>
            <w:r>
              <w:rPr>
                <w:b w:val="0"/>
                <w:sz w:val="20"/>
              </w:rPr>
              <w:t>同状态季节差异的具体线索</w:t>
            </w:r>
          </w:p>
        </w:tc>
        <w:tc>
          <w:tcPr>
            <w:tcW w:type="dxa" w:w="3793"/>
            <w:tcMar>
              <w:top w:w="65" w:type="dxa"/>
              <w:bottom w:w="65" w:type="dxa"/>
              <w:left w:w="90" w:type="dxa"/>
              <w:right w:w="90" w:type="dxa"/>
            </w:tcMar>
          </w:tcPr>
          <w:p>
            <w:pPr>
              <w:keepNext/>
              <w:keepLines/>
              <w:spacing w:line="259" w:lineRule="auto" w:after="40"/>
            </w:pPr>
            <w:r>
              <w:rPr>
                <w:b w:val="0"/>
                <w:sz w:val="20"/>
              </w:rPr>
              <w:t>区间未校正多重比较，不能替代整体比较</w:t>
            </w:r>
          </w:p>
        </w:tc>
      </w:tr>
      <w:tr>
        <w:trPr>
          <w:cantSplit/>
        </w:trPr>
        <w:tc>
          <w:tcPr>
            <w:tcW w:type="dxa" w:w="2381"/>
            <w:tcMar>
              <w:top w:w="65" w:type="dxa"/>
              <w:bottom w:w="65" w:type="dxa"/>
              <w:left w:w="90" w:type="dxa"/>
              <w:right w:w="90" w:type="dxa"/>
            </w:tcMar>
          </w:tcPr>
          <w:p>
            <w:pPr>
              <w:keepNext/>
              <w:keepLines/>
              <w:spacing w:line="259" w:lineRule="auto" w:after="40"/>
            </w:pPr>
            <w:r>
              <w:rPr>
                <w:b w:val="0"/>
                <w:sz w:val="20"/>
              </w:rPr>
              <w:t>下降态的高程关联和季节差异</w:t>
            </w:r>
          </w:p>
        </w:tc>
        <w:tc>
          <w:tcPr>
            <w:tcW w:type="dxa" w:w="3798"/>
            <w:tcMar>
              <w:top w:w="65" w:type="dxa"/>
              <w:bottom w:w="65" w:type="dxa"/>
              <w:left w:w="90" w:type="dxa"/>
              <w:right w:w="90" w:type="dxa"/>
            </w:tcMar>
          </w:tcPr>
          <w:p>
            <w:pPr>
              <w:keepNext/>
              <w:keepLines/>
              <w:spacing w:line="259" w:lineRule="auto" w:after="40"/>
            </w:pPr>
            <w:r>
              <w:rPr>
                <w:b w:val="0"/>
                <w:sz w:val="20"/>
              </w:rPr>
              <w:t>完整呈现状态结果，并讨论低复制</w:t>
            </w:r>
          </w:p>
        </w:tc>
        <w:tc>
          <w:tcPr>
            <w:tcW w:type="dxa" w:w="3793"/>
            <w:tcMar>
              <w:top w:w="65" w:type="dxa"/>
              <w:bottom w:w="65" w:type="dxa"/>
              <w:left w:w="90" w:type="dxa"/>
              <w:right w:w="90" w:type="dxa"/>
            </w:tcMar>
          </w:tcPr>
          <w:p>
            <w:pPr>
              <w:keepNext/>
              <w:keepLines/>
              <w:spacing w:line="259" w:lineRule="auto" w:after="40"/>
            </w:pPr>
            <w:r>
              <w:rPr>
                <w:b w:val="0"/>
                <w:sz w:val="20"/>
              </w:rPr>
              <w:t>夏季下降仅3个体，解释权重有限</w:t>
            </w:r>
          </w:p>
        </w:tc>
      </w:tr>
      <w:tr>
        <w:trPr>
          <w:cantSplit/>
        </w:trPr>
        <w:tc>
          <w:tcPr>
            <w:tcW w:type="dxa" w:w="2381"/>
            <w:tcMar>
              <w:top w:w="65" w:type="dxa"/>
              <w:bottom w:w="65" w:type="dxa"/>
              <w:left w:w="90" w:type="dxa"/>
              <w:right w:w="90" w:type="dxa"/>
            </w:tcMar>
          </w:tcPr>
          <w:p>
            <w:pPr>
              <w:keepNext/>
              <w:keepLines/>
              <w:spacing w:line="259" w:lineRule="auto" w:after="40"/>
            </w:pPr>
            <w:r>
              <w:rPr>
                <w:b w:val="0"/>
                <w:sz w:val="20"/>
              </w:rPr>
              <w:t>上传的设备与日期汇总CSV</w:t>
            </w:r>
          </w:p>
        </w:tc>
        <w:tc>
          <w:tcPr>
            <w:tcW w:type="dxa" w:w="3798"/>
            <w:tcMar>
              <w:top w:w="65" w:type="dxa"/>
              <w:bottom w:w="65" w:type="dxa"/>
              <w:left w:w="90" w:type="dxa"/>
              <w:right w:w="90" w:type="dxa"/>
            </w:tcMar>
          </w:tcPr>
          <w:p>
            <w:pPr>
              <w:keepNext/>
              <w:keepLines/>
              <w:spacing w:line="259" w:lineRule="auto" w:after="40"/>
            </w:pPr>
            <w:r>
              <w:rPr>
                <w:b w:val="0"/>
                <w:sz w:val="20"/>
              </w:rPr>
              <w:t>核验字段和个体身份后用于背景描述</w:t>
            </w:r>
          </w:p>
        </w:tc>
        <w:tc>
          <w:tcPr>
            <w:tcW w:type="dxa" w:w="3793"/>
            <w:tcMar>
              <w:top w:w="65" w:type="dxa"/>
              <w:bottom w:w="65" w:type="dxa"/>
              <w:left w:w="90" w:type="dxa"/>
              <w:right w:w="90" w:type="dxa"/>
            </w:tcMar>
          </w:tcPr>
          <w:p>
            <w:pPr>
              <w:keepNext/>
              <w:keepLines/>
              <w:spacing w:line="259" w:lineRule="auto" w:after="40"/>
            </w:pPr>
            <w:r>
              <w:rPr>
                <w:b w:val="0"/>
                <w:sz w:val="20"/>
              </w:rPr>
              <w:t>不含逐点轨迹及匹配点，无法复现主模型</w:t>
            </w:r>
          </w:p>
        </w:tc>
      </w:tr>
      <w:tr>
        <w:trPr>
          <w:cantSplit/>
        </w:trPr>
        <w:tc>
          <w:tcPr>
            <w:tcW w:type="dxa" w:w="2381"/>
            <w:tcMar>
              <w:top w:w="65" w:type="dxa"/>
              <w:bottom w:w="65" w:type="dxa"/>
              <w:left w:w="90" w:type="dxa"/>
              <w:right w:w="90" w:type="dxa"/>
            </w:tcMar>
          </w:tcPr>
          <w:p>
            <w:pPr>
              <w:keepNext w:val="0"/>
              <w:keepLines/>
              <w:spacing w:line="259" w:lineRule="auto" w:after="40"/>
            </w:pPr>
            <w:r>
              <w:rPr>
                <w:b w:val="0"/>
                <w:sz w:val="20"/>
              </w:rPr>
              <w:t>食物季节差异</w:t>
            </w:r>
          </w:p>
        </w:tc>
        <w:tc>
          <w:tcPr>
            <w:tcW w:type="dxa" w:w="3798"/>
            <w:tcMar>
              <w:top w:w="65" w:type="dxa"/>
              <w:bottom w:w="65" w:type="dxa"/>
              <w:left w:w="90" w:type="dxa"/>
              <w:right w:w="90" w:type="dxa"/>
            </w:tcMar>
          </w:tcPr>
          <w:p>
            <w:pPr>
              <w:keepNext w:val="0"/>
              <w:keepLines/>
              <w:spacing w:line="259" w:lineRule="auto" w:after="40"/>
            </w:pPr>
            <w:r>
              <w:rPr>
                <w:b w:val="0"/>
                <w:sz w:val="20"/>
              </w:rPr>
              <w:t>引言动机及待检验的解释</w:t>
            </w:r>
          </w:p>
        </w:tc>
        <w:tc>
          <w:tcPr>
            <w:tcW w:type="dxa" w:w="3793"/>
            <w:tcMar>
              <w:top w:w="65" w:type="dxa"/>
              <w:bottom w:w="65" w:type="dxa"/>
              <w:left w:w="90" w:type="dxa"/>
              <w:right w:w="90" w:type="dxa"/>
            </w:tcMar>
          </w:tcPr>
          <w:p>
            <w:pPr>
              <w:keepNext w:val="0"/>
              <w:keepLines/>
              <w:spacing w:line="259" w:lineRule="auto" w:after="40"/>
            </w:pPr>
            <w:r>
              <w:rPr>
                <w:b w:val="0"/>
                <w:sz w:val="20"/>
              </w:rPr>
              <w:t>用户已提出，具体食物、来源和匹配层级尚待补齐</w:t>
            </w:r>
          </w:p>
        </w:tc>
      </w:tr>
    </w:tbl>
    <w:p>
      <w:pPr>
        <w:spacing w:after="20"/>
      </w:pPr>
    </w:p>
    <w:p>
      <w:r>
        <w:rPr>
          <w:b w:val="0"/>
        </w:rPr>
        <w:t>因此，当前不能直接写出“秋季比夏季更依赖地形”这一全文结论。新版已经明确了判断该问题所需的分析，而已有上升态结果提供了值得进一步追踪的季节差异线索。</w:t>
      </w:r>
    </w:p>
    <w:p>
      <w:pPr>
        <w:pStyle w:val="Heading1"/>
      </w:pPr>
      <w:r>
        <w:t>9 分析设计如何对应新的问题</w:t>
      </w:r>
    </w:p>
    <w:p>
      <w:pPr>
        <w:pStyle w:val="Heading2"/>
      </w:pPr>
      <w:r>
        <w:t>整体使用关联的主分析</w:t>
      </w:r>
    </w:p>
    <w:p>
      <w:r>
        <w:rPr>
          <w:b w:val="0"/>
        </w:rPr>
        <w:t>建立两季一致的数据纳入规则，保留原始连续段，以全部符合总体分析标准的使用点及其匹配可得点为基础。总体分析的样本不应自动限制为HMM高置信度点，否则总体问题会被状态筛选改变。使用点、分类有效点与状态模型样本应分别记录。</w:t>
      </w:r>
    </w:p>
    <w:p>
      <w:r>
        <w:rPr>
          <w:b w:val="0"/>
        </w:rPr>
        <w:t>可沿用“连续段95% kernel UD内的可得背景”作为候选设计，但其推断限定于所采样活动范围内部的条件使用关联；它不能检验蝙蝠为何在整个景观中选择这一活动范围。UD也由使用轨迹估计，应明确其背景依赖性。</w:t>
      </w:r>
    </w:p>
    <w:p>
      <w:r>
        <w:rPr>
          <w:b w:val="0"/>
        </w:rPr>
        <w:t>分别估计季节特异的地形效应，或在统一的匹配模型中包含季节与地形的交互项，再进行直接对比。按使用点分层时，季节在每个匹配组内恒定，单独的季节主效应不可识别，而季节与组内变化地形的交互可以估计。实际模型形式需与原脚本和数据结构对照。</w:t>
      </w:r>
    </w:p>
    <w:p>
      <w:r>
        <w:rPr>
          <w:b w:val="0"/>
        </w:rPr>
        <w:t>选择强度以预先说明的地形对比为单位表达，例如在两季均有数据支持的同一TPI梯度上比较相对使用变化。统一标准化只是可比性的一个条件，还要检查共同取值范围、地形相关性、采样权重和可得背景。不要在缺乏共同支持的地形范围作远距离外推。</w:t>
      </w:r>
    </w:p>
    <w:p>
      <w:r>
        <w:rPr>
          <w:b w:val="0"/>
        </w:rPr>
        <w:t>若需要总结地形整体关联，可设计适合个体聚类结构的联合检验；不能把多个单变量p值拼成“总体依赖指数”。对某一季“没有地形关联”的结论，需要足够精度和明确的实际效应界限，不能仅依据不显著。</w:t>
      </w:r>
    </w:p>
    <w:p>
      <w:pPr>
        <w:pStyle w:val="Heading2"/>
      </w:pPr>
      <w:r>
        <w:t>行为组成与状态内关系</w:t>
      </w:r>
    </w:p>
    <w:p>
      <w:r>
        <w:rPr>
          <w:b w:val="0"/>
        </w:rPr>
        <w:t>保留上升、近水平、下降的定义及原始分段，核验按季节分别拟合的HMM状态是否具有可比含义。将时间分配与状态内地形选择作为不同响应，避免把两种变化混成一个季节效应。</w:t>
      </w:r>
    </w:p>
    <w:p>
      <w:r>
        <w:rPr>
          <w:b w:val="0"/>
        </w:rPr>
        <w:t>如果要进一步分解总体差异，可以在相同可得点集合和共同地形范围上作模型预测，再比较实际状态组成与统一状态组成下的预测差异。该分析是标准化后的描述性分解，不是食物或行为的因果中介分析，也不能简单把不同状态的logistic系数加权平均。</w:t>
      </w:r>
    </w:p>
    <w:p>
      <w:pPr>
        <w:pStyle w:val="Heading2"/>
      </w:pPr>
      <w:r>
        <w:t>个体层级及稳健性</w:t>
      </w:r>
    </w:p>
    <w:p>
      <w:r>
        <w:rPr>
          <w:b w:val="0"/>
        </w:rPr>
        <w:t>以个体作为主要重采样和影响分析单位，核对跨季重复个体的处理。整群bootstrap解决的是不确定性估计，并不会自动使每个个体对点估计贡献相同；应明确研究目标偏向“采样使用点”还是“典型个体”，并据此规定权重和汇总方式。</w:t>
      </w:r>
    </w:p>
    <w:p>
      <w:r>
        <w:rPr>
          <w:b w:val="0"/>
        </w:rPr>
        <w:t>优先检查少数个体影响、状态分类与背景定义的敏感性。多重比较、少量个体和不完整配对限制应影响结论强度；不能只在补充材料中列出而正文仍作确认性表述。</w:t>
      </w:r>
    </w:p>
    <w:p>
      <w:pPr>
        <w:pStyle w:val="Heading1"/>
      </w:pPr>
      <w:r>
        <w:t>10 图表围绕证据安排</w:t>
      </w:r>
    </w:p>
    <w:tbl>
      <w:tblPr>
        <w:tblW w:type="auto" w:w="0"/>
        <w:tblLayout w:type="fixed"/>
        <w:tblLook w:firstColumn="1" w:firstRow="1" w:lastColumn="0" w:lastRow="0" w:noHBand="0" w:noVBand="1" w:val="04A0"/>
        <w:tblBorders>
          <w:top w:val="single" w:sz="4" w:color="C5CDD3"/>
          <w:bottom w:val="single" w:sz="4" w:color="C5CDD3"/>
          <w:insideH w:val="single" w:sz="4" w:color="C5CDD3"/>
        </w:tblBorders>
      </w:tblPr>
      <w:tblGrid>
        <w:gridCol w:w="2268"/>
        <w:gridCol w:w="7705"/>
      </w:tblGrid>
      <w:tr>
        <w:trPr>
          <w:cantSplit/>
          <w:tblHeader/>
        </w:trPr>
        <w:tc>
          <w:tcPr>
            <w:tcW w:type="dxa" w:w="2268"/>
            <w:tcMar>
              <w:top w:w="65" w:type="dxa"/>
              <w:bottom w:w="65" w:type="dxa"/>
              <w:left w:w="90" w:type="dxa"/>
              <w:right w:w="90" w:type="dxa"/>
            </w:tcMar>
            <w:shd w:fill="EEF2F5"/>
          </w:tcPr>
          <w:p>
            <w:pPr>
              <w:keepNext/>
              <w:keepLines/>
              <w:spacing w:line="259" w:lineRule="auto" w:after="40"/>
            </w:pPr>
            <w:r>
              <w:rPr>
                <w:b/>
                <w:sz w:val="20"/>
              </w:rPr>
              <w:t>图表</w:t>
            </w:r>
          </w:p>
        </w:tc>
        <w:tc>
          <w:tcPr>
            <w:tcW w:type="dxa" w:w="7705"/>
            <w:tcMar>
              <w:top w:w="65" w:type="dxa"/>
              <w:bottom w:w="65" w:type="dxa"/>
              <w:left w:w="90" w:type="dxa"/>
              <w:right w:w="90" w:type="dxa"/>
            </w:tcMar>
            <w:shd w:fill="EEF2F5"/>
          </w:tcPr>
          <w:p>
            <w:pPr>
              <w:keepNext/>
              <w:keepLines/>
              <w:spacing w:line="259" w:lineRule="auto" w:after="40"/>
            </w:pPr>
            <w:r>
              <w:rPr>
                <w:b/>
                <w:sz w:val="20"/>
              </w:rPr>
              <w:t>读者应获得的信息</w:t>
            </w:r>
          </w:p>
        </w:tc>
      </w:tr>
      <w:tr>
        <w:trPr>
          <w:cantSplit/>
        </w:trPr>
        <w:tc>
          <w:tcPr>
            <w:tcW w:type="dxa" w:w="2268"/>
            <w:tcMar>
              <w:top w:w="65" w:type="dxa"/>
              <w:bottom w:w="65" w:type="dxa"/>
              <w:left w:w="90" w:type="dxa"/>
              <w:right w:w="90" w:type="dxa"/>
            </w:tcMar>
          </w:tcPr>
          <w:p>
            <w:pPr>
              <w:keepNext/>
              <w:keepLines/>
              <w:spacing w:line="259" w:lineRule="auto" w:after="40"/>
            </w:pPr>
            <w:r>
              <w:rPr>
                <w:b w:val="0"/>
                <w:sz w:val="20"/>
              </w:rPr>
              <w:t>图1 研究设计与两季地形背景</w:t>
            </w:r>
          </w:p>
        </w:tc>
        <w:tc>
          <w:tcPr>
            <w:tcW w:type="dxa" w:w="7705"/>
            <w:tcMar>
              <w:top w:w="65" w:type="dxa"/>
              <w:bottom w:w="65" w:type="dxa"/>
              <w:left w:w="90" w:type="dxa"/>
              <w:right w:w="90" w:type="dxa"/>
            </w:tcMar>
          </w:tcPr>
          <w:p>
            <w:pPr>
              <w:keepNext/>
              <w:keepLines/>
              <w:spacing w:line="259" w:lineRule="auto" w:after="40"/>
            </w:pPr>
            <w:r>
              <w:rPr>
                <w:b w:val="0"/>
                <w:sz w:val="20"/>
              </w:rPr>
              <w:t>研究区、轨迹、可得背景及采样层级；有直接食物数据时展示其采样对应</w:t>
            </w:r>
          </w:p>
        </w:tc>
      </w:tr>
      <w:tr>
        <w:trPr>
          <w:cantSplit/>
        </w:trPr>
        <w:tc>
          <w:tcPr>
            <w:tcW w:type="dxa" w:w="2268"/>
            <w:tcMar>
              <w:top w:w="65" w:type="dxa"/>
              <w:bottom w:w="65" w:type="dxa"/>
              <w:left w:w="90" w:type="dxa"/>
              <w:right w:w="90" w:type="dxa"/>
            </w:tcMar>
          </w:tcPr>
          <w:p>
            <w:pPr>
              <w:keepNext/>
              <w:keepLines/>
              <w:spacing w:line="259" w:lineRule="auto" w:after="40"/>
            </w:pPr>
            <w:r>
              <w:rPr>
                <w:b w:val="0"/>
                <w:sz w:val="20"/>
              </w:rPr>
              <w:t>图2 整体地形使用的季节比较</w:t>
            </w:r>
          </w:p>
        </w:tc>
        <w:tc>
          <w:tcPr>
            <w:tcW w:type="dxa" w:w="7705"/>
            <w:tcMar>
              <w:top w:w="65" w:type="dxa"/>
              <w:bottom w:w="65" w:type="dxa"/>
              <w:left w:w="90" w:type="dxa"/>
              <w:right w:w="90" w:type="dxa"/>
            </w:tcMar>
          </w:tcPr>
          <w:p>
            <w:pPr>
              <w:keepNext/>
              <w:keepLines/>
              <w:spacing w:line="259" w:lineRule="auto" w:after="40"/>
            </w:pPr>
            <w:r>
              <w:rPr>
                <w:b w:val="0"/>
                <w:sz w:val="20"/>
              </w:rPr>
              <w:t>两季的完整地形效应、共同地形对比和直接季节差值，这是主图</w:t>
            </w:r>
          </w:p>
        </w:tc>
      </w:tr>
      <w:tr>
        <w:trPr>
          <w:cantSplit/>
        </w:trPr>
        <w:tc>
          <w:tcPr>
            <w:tcW w:type="dxa" w:w="2268"/>
            <w:tcMar>
              <w:top w:w="65" w:type="dxa"/>
              <w:bottom w:w="65" w:type="dxa"/>
              <w:left w:w="90" w:type="dxa"/>
              <w:right w:w="90" w:type="dxa"/>
            </w:tcMar>
          </w:tcPr>
          <w:p>
            <w:pPr>
              <w:keepNext/>
              <w:keepLines/>
              <w:spacing w:line="259" w:lineRule="auto" w:after="40"/>
            </w:pPr>
            <w:r>
              <w:rPr>
                <w:b w:val="0"/>
                <w:sz w:val="20"/>
              </w:rPr>
              <w:t>图3 季节差异的行为表现</w:t>
            </w:r>
          </w:p>
        </w:tc>
        <w:tc>
          <w:tcPr>
            <w:tcW w:type="dxa" w:w="7705"/>
            <w:tcMar>
              <w:top w:w="65" w:type="dxa"/>
              <w:bottom w:w="65" w:type="dxa"/>
              <w:left w:w="90" w:type="dxa"/>
              <w:right w:w="90" w:type="dxa"/>
            </w:tcMar>
          </w:tcPr>
          <w:p>
            <w:pPr>
              <w:keepNext/>
              <w:keepLines/>
              <w:spacing w:line="259" w:lineRule="auto" w:after="40"/>
            </w:pPr>
            <w:r>
              <w:rPr>
                <w:b w:val="0"/>
                <w:sz w:val="20"/>
              </w:rPr>
              <w:t>时间加权状态组成及状态内的地形关联与季节差值</w:t>
            </w:r>
          </w:p>
        </w:tc>
      </w:tr>
      <w:tr>
        <w:trPr>
          <w:cantSplit/>
        </w:trPr>
        <w:tc>
          <w:tcPr>
            <w:tcW w:type="dxa" w:w="2268"/>
            <w:tcMar>
              <w:top w:w="65" w:type="dxa"/>
              <w:bottom w:w="65" w:type="dxa"/>
              <w:left w:w="90" w:type="dxa"/>
              <w:right w:w="90" w:type="dxa"/>
            </w:tcMar>
          </w:tcPr>
          <w:p>
            <w:pPr>
              <w:keepNext/>
              <w:keepLines/>
              <w:spacing w:line="259" w:lineRule="auto" w:after="40"/>
            </w:pPr>
            <w:r>
              <w:rPr>
                <w:b w:val="0"/>
                <w:sz w:val="20"/>
              </w:rPr>
              <w:t>图4 食物证据与地形使用的关系</w:t>
            </w:r>
          </w:p>
        </w:tc>
        <w:tc>
          <w:tcPr>
            <w:tcW w:type="dxa" w:w="7705"/>
            <w:tcMar>
              <w:top w:w="65" w:type="dxa"/>
              <w:bottom w:w="65" w:type="dxa"/>
              <w:left w:w="90" w:type="dxa"/>
              <w:right w:w="90" w:type="dxa"/>
            </w:tcMar>
          </w:tcPr>
          <w:p>
            <w:pPr>
              <w:keepNext/>
              <w:keepLines/>
              <w:spacing w:line="259" w:lineRule="auto" w:after="40"/>
            </w:pPr>
            <w:r>
              <w:rPr>
                <w:b w:val="0"/>
                <w:sz w:val="20"/>
              </w:rPr>
              <w:t>仅在有合适食物数据时设置；没有数据则不制作机制结果图</w:t>
            </w:r>
          </w:p>
        </w:tc>
      </w:tr>
      <w:tr>
        <w:trPr>
          <w:cantSplit/>
        </w:trPr>
        <w:tc>
          <w:tcPr>
            <w:tcW w:type="dxa" w:w="2268"/>
            <w:tcMar>
              <w:top w:w="65" w:type="dxa"/>
              <w:bottom w:w="65" w:type="dxa"/>
              <w:left w:w="90" w:type="dxa"/>
              <w:right w:w="90" w:type="dxa"/>
            </w:tcMar>
          </w:tcPr>
          <w:p>
            <w:pPr>
              <w:keepNext w:val="0"/>
              <w:keepLines/>
              <w:spacing w:line="259" w:lineRule="auto" w:after="40"/>
            </w:pPr>
            <w:r>
              <w:rPr>
                <w:b w:val="0"/>
                <w:sz w:val="20"/>
              </w:rPr>
              <w:t>表1 样本支持</w:t>
            </w:r>
          </w:p>
        </w:tc>
        <w:tc>
          <w:tcPr>
            <w:tcW w:type="dxa" w:w="7705"/>
            <w:tcMar>
              <w:top w:w="65" w:type="dxa"/>
              <w:bottom w:w="65" w:type="dxa"/>
              <w:left w:w="90" w:type="dxa"/>
              <w:right w:w="90" w:type="dxa"/>
            </w:tcMar>
          </w:tcPr>
          <w:p>
            <w:pPr>
              <w:keepNext w:val="0"/>
              <w:keepLines/>
              <w:spacing w:line="259" w:lineRule="auto" w:after="40"/>
            </w:pPr>
            <w:r>
              <w:rPr>
                <w:b w:val="0"/>
                <w:sz w:val="20"/>
              </w:rPr>
              <w:t>两季的个体、连续段、有效跟踪覆盖及不同分析样本</w:t>
            </w:r>
          </w:p>
        </w:tc>
      </w:tr>
    </w:tbl>
    <w:p>
      <w:pPr>
        <w:spacing w:after="20"/>
      </w:pPr>
    </w:p>
    <w:p>
      <w:r>
        <w:rPr>
          <w:b w:val="0"/>
        </w:rPr>
        <w:t>完整系数表、筛选流程、HMM诊断、UD与栅格细节、bootstrap有效次数和次要敏感性分析放入方法或补充材料。会改变主要解释的反例和失败结果仍需在正文交代。</w:t>
      </w:r>
    </w:p>
    <w:p>
      <w:pPr>
        <w:pStyle w:val="Heading1"/>
      </w:pPr>
      <w:r>
        <w:t>11 写作顺序与当前可完成部分</w:t>
      </w:r>
    </w:p>
    <w:p>
      <w:r>
        <w:rPr>
          <w:b w:val="0"/>
        </w:rPr>
        <w:t>先固定科学问题及“使用程度”的定义，再清点可回答每个问题的证据，确定总体分析需要哪些补充。接着围绕主图建立结果提纲，由结果能回答的问题反推引言，最后撰写讨论、题目和摘要。这样可避免为既定故事筛选结果。</w:t>
      </w:r>
    </w:p>
    <w:p>
      <w:r>
        <w:rPr>
          <w:b w:val="0"/>
        </w:rPr>
        <w:t>目前可以完成整体框架、引言逻辑、竞争解释、图表规划和分析设计。数据阶段优先恢复10月14日的主脚本、完整结果及其实际输入，再建立新版整体季节比较。食物证据则要确认三个事实：变化具体是什么、由什么材料支持、能否与个体或日期相匹配。</w:t>
      </w:r>
    </w:p>
    <w:p>
      <w:r>
        <w:rPr>
          <w:b w:val="0"/>
        </w:rPr>
        <w:t>文章最终可以出现不同但都合理的结论：某些地形属性的关联强度改变；整体差异有限而行为组成或状态内关系改变；或现有样本无法精确区分两季。框架应容纳这些结果，而不把“必然存在季节差异”当作完成文章的前提。</w:t>
      </w:r>
    </w:p>
    <w:p>
      <w:pPr>
        <w:pStyle w:val="Heading1"/>
      </w:pPr>
      <w:r>
        <w:t>12 术语与证据口径</w:t>
      </w:r>
    </w:p>
    <w:tbl>
      <w:tblPr>
        <w:tblW w:type="auto" w:w="0"/>
        <w:tblLayout w:type="fixed"/>
        <w:tblLook w:firstColumn="1" w:firstRow="1" w:lastColumn="0" w:lastRow="0" w:noHBand="0" w:noVBand="1" w:val="04A0"/>
        <w:tblBorders>
          <w:top w:val="single" w:sz="4" w:color="C5CDD3"/>
          <w:bottom w:val="single" w:sz="4" w:color="C5CDD3"/>
          <w:insideH w:val="single" w:sz="4" w:color="C5CDD3"/>
        </w:tblBorders>
      </w:tblPr>
      <w:tblGrid>
        <w:gridCol w:w="2268"/>
        <w:gridCol w:w="7705"/>
      </w:tblGrid>
      <w:tr>
        <w:trPr>
          <w:cantSplit/>
          <w:tblHeader/>
        </w:trPr>
        <w:tc>
          <w:tcPr>
            <w:tcW w:type="dxa" w:w="2268"/>
            <w:tcMar>
              <w:top w:w="65" w:type="dxa"/>
              <w:bottom w:w="65" w:type="dxa"/>
              <w:left w:w="90" w:type="dxa"/>
              <w:right w:w="90" w:type="dxa"/>
            </w:tcMar>
            <w:shd w:fill="EEF2F5"/>
          </w:tcPr>
          <w:p>
            <w:pPr>
              <w:keepNext/>
              <w:keepLines/>
              <w:spacing w:line="259" w:lineRule="auto" w:after="40"/>
            </w:pPr>
            <w:r>
              <w:rPr>
                <w:b/>
                <w:sz w:val="20"/>
              </w:rPr>
              <w:t>统一术语</w:t>
            </w:r>
          </w:p>
        </w:tc>
        <w:tc>
          <w:tcPr>
            <w:tcW w:type="dxa" w:w="7705"/>
            <w:tcMar>
              <w:top w:w="65" w:type="dxa"/>
              <w:bottom w:w="65" w:type="dxa"/>
              <w:left w:w="90" w:type="dxa"/>
              <w:right w:w="90" w:type="dxa"/>
            </w:tcMar>
            <w:shd w:fill="EEF2F5"/>
          </w:tcPr>
          <w:p>
            <w:pPr>
              <w:keepNext/>
              <w:keepLines/>
              <w:spacing w:line="259" w:lineRule="auto" w:after="40"/>
            </w:pPr>
            <w:r>
              <w:rPr>
                <w:b/>
                <w:sz w:val="20"/>
              </w:rPr>
              <w:t>本文含义</w:t>
            </w:r>
          </w:p>
        </w:tc>
      </w:tr>
      <w:tr>
        <w:trPr>
          <w:cantSplit/>
        </w:trPr>
        <w:tc>
          <w:tcPr>
            <w:tcW w:type="dxa" w:w="2268"/>
            <w:tcMar>
              <w:top w:w="65" w:type="dxa"/>
              <w:bottom w:w="65" w:type="dxa"/>
              <w:left w:w="90" w:type="dxa"/>
              <w:right w:w="90" w:type="dxa"/>
            </w:tcMar>
          </w:tcPr>
          <w:p>
            <w:pPr>
              <w:keepNext/>
              <w:keepLines/>
              <w:spacing w:line="259" w:lineRule="auto" w:after="40"/>
            </w:pPr>
            <w:r>
              <w:rPr>
                <w:b w:val="0"/>
                <w:sz w:val="20"/>
              </w:rPr>
              <w:t>地形使用量</w:t>
            </w:r>
          </w:p>
        </w:tc>
        <w:tc>
          <w:tcPr>
            <w:tcW w:type="dxa" w:w="7705"/>
            <w:tcMar>
              <w:top w:w="65" w:type="dxa"/>
              <w:bottom w:w="65" w:type="dxa"/>
              <w:left w:w="90" w:type="dxa"/>
              <w:right w:w="90" w:type="dxa"/>
            </w:tcMar>
          </w:tcPr>
          <w:p>
            <w:pPr>
              <w:keepNext/>
              <w:keepLines/>
              <w:spacing w:line="259" w:lineRule="auto" w:after="40"/>
            </w:pPr>
            <w:r>
              <w:rPr>
                <w:b w:val="0"/>
                <w:sz w:val="20"/>
              </w:rPr>
              <w:t>记录覆盖或时间加权后的活动分布，需要说明分母</w:t>
            </w:r>
          </w:p>
        </w:tc>
      </w:tr>
      <w:tr>
        <w:trPr>
          <w:cantSplit/>
        </w:trPr>
        <w:tc>
          <w:tcPr>
            <w:tcW w:type="dxa" w:w="2268"/>
            <w:tcMar>
              <w:top w:w="65" w:type="dxa"/>
              <w:bottom w:w="65" w:type="dxa"/>
              <w:left w:w="90" w:type="dxa"/>
              <w:right w:w="90" w:type="dxa"/>
            </w:tcMar>
          </w:tcPr>
          <w:p>
            <w:pPr>
              <w:keepNext/>
              <w:keepLines/>
              <w:spacing w:line="259" w:lineRule="auto" w:after="40"/>
            </w:pPr>
            <w:r>
              <w:rPr>
                <w:b w:val="0"/>
                <w:sz w:val="20"/>
              </w:rPr>
              <w:t>地形使用关联或选择强度</w:t>
            </w:r>
          </w:p>
        </w:tc>
        <w:tc>
          <w:tcPr>
            <w:tcW w:type="dxa" w:w="7705"/>
            <w:tcMar>
              <w:top w:w="65" w:type="dxa"/>
              <w:bottom w:w="65" w:type="dxa"/>
              <w:left w:w="90" w:type="dxa"/>
              <w:right w:w="90" w:type="dxa"/>
            </w:tcMar>
          </w:tcPr>
          <w:p>
            <w:pPr>
              <w:keepNext/>
              <w:keepLines/>
              <w:spacing w:line="259" w:lineRule="auto" w:after="40"/>
            </w:pPr>
            <w:r>
              <w:rPr>
                <w:b w:val="0"/>
                <w:sz w:val="20"/>
              </w:rPr>
              <w:t>相对于所定义可得背景的使用关系；不等同主动偏好或能量收益</w:t>
            </w:r>
          </w:p>
        </w:tc>
      </w:tr>
      <w:tr>
        <w:trPr>
          <w:cantSplit/>
        </w:trPr>
        <w:tc>
          <w:tcPr>
            <w:tcW w:type="dxa" w:w="2268"/>
            <w:tcMar>
              <w:top w:w="65" w:type="dxa"/>
              <w:bottom w:w="65" w:type="dxa"/>
              <w:left w:w="90" w:type="dxa"/>
              <w:right w:w="90" w:type="dxa"/>
            </w:tcMar>
          </w:tcPr>
          <w:p>
            <w:pPr>
              <w:keepNext/>
              <w:keepLines/>
              <w:spacing w:line="259" w:lineRule="auto" w:after="40"/>
            </w:pPr>
            <w:r>
              <w:rPr>
                <w:b w:val="0"/>
                <w:sz w:val="20"/>
              </w:rPr>
              <w:t>地面高程</w:t>
            </w:r>
          </w:p>
        </w:tc>
        <w:tc>
          <w:tcPr>
            <w:tcW w:type="dxa" w:w="7705"/>
            <w:tcMar>
              <w:top w:w="65" w:type="dxa"/>
              <w:bottom w:w="65" w:type="dxa"/>
              <w:left w:w="90" w:type="dxa"/>
              <w:right w:w="90" w:type="dxa"/>
            </w:tcMar>
          </w:tcPr>
          <w:p>
            <w:pPr>
              <w:keepNext/>
              <w:keepLines/>
              <w:spacing w:line="259" w:lineRule="auto" w:after="40"/>
            </w:pPr>
            <w:r>
              <w:rPr>
                <w:b w:val="0"/>
                <w:sz w:val="20"/>
              </w:rPr>
              <w:t>所在位置的地表高程，不是蝙蝠自身飞行高度</w:t>
            </w:r>
          </w:p>
        </w:tc>
      </w:tr>
      <w:tr>
        <w:trPr>
          <w:cantSplit/>
        </w:trPr>
        <w:tc>
          <w:tcPr>
            <w:tcW w:type="dxa" w:w="2268"/>
            <w:tcMar>
              <w:top w:w="65" w:type="dxa"/>
              <w:bottom w:w="65" w:type="dxa"/>
              <w:left w:w="90" w:type="dxa"/>
              <w:right w:w="90" w:type="dxa"/>
            </w:tcMar>
          </w:tcPr>
          <w:p>
            <w:pPr>
              <w:keepNext/>
              <w:keepLines/>
              <w:spacing w:line="259" w:lineRule="auto" w:after="40"/>
            </w:pPr>
            <w:r>
              <w:rPr>
                <w:b w:val="0"/>
                <w:sz w:val="20"/>
              </w:rPr>
              <w:t>TPI</w:t>
            </w:r>
          </w:p>
        </w:tc>
        <w:tc>
          <w:tcPr>
            <w:tcW w:type="dxa" w:w="7705"/>
            <w:tcMar>
              <w:top w:w="65" w:type="dxa"/>
              <w:bottom w:w="65" w:type="dxa"/>
              <w:left w:w="90" w:type="dxa"/>
              <w:right w:w="90" w:type="dxa"/>
            </w:tcMar>
          </w:tcPr>
          <w:p>
            <w:pPr>
              <w:keepNext/>
              <w:keepLines/>
              <w:spacing w:line="259" w:lineRule="auto" w:after="40"/>
            </w:pPr>
            <w:r>
              <w:rPr>
                <w:b w:val="0"/>
                <w:sz w:val="20"/>
              </w:rPr>
              <w:t>地形位置指数，反映相对周围地形的位置；90米邻域的定义待脚本核实</w:t>
            </w:r>
          </w:p>
        </w:tc>
      </w:tr>
      <w:tr>
        <w:trPr>
          <w:cantSplit/>
        </w:trPr>
        <w:tc>
          <w:tcPr>
            <w:tcW w:type="dxa" w:w="2268"/>
            <w:tcMar>
              <w:top w:w="65" w:type="dxa"/>
              <w:bottom w:w="65" w:type="dxa"/>
              <w:left w:w="90" w:type="dxa"/>
              <w:right w:w="90" w:type="dxa"/>
            </w:tcMar>
          </w:tcPr>
          <w:p>
            <w:pPr>
              <w:keepNext/>
              <w:keepLines/>
              <w:spacing w:line="259" w:lineRule="auto" w:after="40"/>
            </w:pPr>
            <w:r>
              <w:rPr>
                <w:b w:val="0"/>
                <w:sz w:val="20"/>
              </w:rPr>
              <w:t>垂直状态</w:t>
            </w:r>
          </w:p>
        </w:tc>
        <w:tc>
          <w:tcPr>
            <w:tcW w:type="dxa" w:w="7705"/>
            <w:tcMar>
              <w:top w:w="65" w:type="dxa"/>
              <w:bottom w:w="65" w:type="dxa"/>
              <w:left w:w="90" w:type="dxa"/>
              <w:right w:w="90" w:type="dxa"/>
            </w:tcMar>
          </w:tcPr>
          <w:p>
            <w:pPr>
              <w:keepNext/>
              <w:keepLines/>
              <w:spacing w:line="259" w:lineRule="auto" w:after="40"/>
            </w:pPr>
            <w:r>
              <w:rPr>
                <w:b w:val="0"/>
                <w:sz w:val="20"/>
              </w:rPr>
              <w:t>上升、近水平、下降；不是觅食、通勤等功能行为的直接标签</w:t>
            </w:r>
          </w:p>
        </w:tc>
      </w:tr>
      <w:tr>
        <w:trPr>
          <w:cantSplit/>
        </w:trPr>
        <w:tc>
          <w:tcPr>
            <w:tcW w:type="dxa" w:w="2268"/>
            <w:tcMar>
              <w:top w:w="65" w:type="dxa"/>
              <w:bottom w:w="65" w:type="dxa"/>
              <w:left w:w="90" w:type="dxa"/>
              <w:right w:w="90" w:type="dxa"/>
            </w:tcMar>
          </w:tcPr>
          <w:p>
            <w:pPr>
              <w:keepNext/>
              <w:keepLines/>
              <w:spacing w:line="259" w:lineRule="auto" w:after="40"/>
            </w:pPr>
            <w:r>
              <w:rPr>
                <w:b w:val="0"/>
                <w:sz w:val="20"/>
              </w:rPr>
              <w:t>食物资源</w:t>
            </w:r>
          </w:p>
        </w:tc>
        <w:tc>
          <w:tcPr>
            <w:tcW w:type="dxa" w:w="7705"/>
            <w:tcMar>
              <w:top w:w="65" w:type="dxa"/>
              <w:bottom w:w="65" w:type="dxa"/>
              <w:left w:w="90" w:type="dxa"/>
              <w:right w:w="90" w:type="dxa"/>
            </w:tcMar>
          </w:tcPr>
          <w:p>
            <w:pPr>
              <w:keepNext/>
              <w:keepLines/>
              <w:spacing w:line="259" w:lineRule="auto" w:after="40"/>
            </w:pPr>
            <w:r>
              <w:rPr>
                <w:b w:val="0"/>
                <w:sz w:val="20"/>
              </w:rPr>
              <w:t>环境中可得食物的组成、数量及分布</w:t>
            </w:r>
          </w:p>
        </w:tc>
      </w:tr>
      <w:tr>
        <w:trPr>
          <w:cantSplit/>
        </w:trPr>
        <w:tc>
          <w:tcPr>
            <w:tcW w:type="dxa" w:w="2268"/>
            <w:tcMar>
              <w:top w:w="65" w:type="dxa"/>
              <w:bottom w:w="65" w:type="dxa"/>
              <w:left w:w="90" w:type="dxa"/>
              <w:right w:w="90" w:type="dxa"/>
            </w:tcMar>
          </w:tcPr>
          <w:p>
            <w:pPr>
              <w:keepNext/>
              <w:keepLines/>
              <w:spacing w:line="259" w:lineRule="auto" w:after="40"/>
            </w:pPr>
            <w:r>
              <w:rPr>
                <w:b w:val="0"/>
                <w:sz w:val="20"/>
              </w:rPr>
              <w:t>食性</w:t>
            </w:r>
          </w:p>
        </w:tc>
        <w:tc>
          <w:tcPr>
            <w:tcW w:type="dxa" w:w="7705"/>
            <w:tcMar>
              <w:top w:w="65" w:type="dxa"/>
              <w:bottom w:w="65" w:type="dxa"/>
              <w:left w:w="90" w:type="dxa"/>
              <w:right w:w="90" w:type="dxa"/>
            </w:tcMar>
          </w:tcPr>
          <w:p>
            <w:pPr>
              <w:keepNext/>
              <w:keepLines/>
              <w:spacing w:line="259" w:lineRule="auto" w:after="40"/>
            </w:pPr>
            <w:r>
              <w:rPr>
                <w:b w:val="0"/>
                <w:sz w:val="20"/>
              </w:rPr>
              <w:t>蝙蝠实际摄食的食物组成，需要独立证据</w:t>
            </w:r>
          </w:p>
        </w:tc>
      </w:tr>
      <w:tr>
        <w:trPr>
          <w:cantSplit/>
        </w:trPr>
        <w:tc>
          <w:tcPr>
            <w:tcW w:type="dxa" w:w="2268"/>
            <w:tcMar>
              <w:top w:w="65" w:type="dxa"/>
              <w:bottom w:w="65" w:type="dxa"/>
              <w:left w:w="90" w:type="dxa"/>
              <w:right w:w="90" w:type="dxa"/>
            </w:tcMar>
          </w:tcPr>
          <w:p>
            <w:pPr>
              <w:keepNext w:val="0"/>
              <w:keepLines/>
              <w:spacing w:line="259" w:lineRule="auto" w:after="40"/>
            </w:pPr>
            <w:r>
              <w:rPr>
                <w:b w:val="0"/>
                <w:sz w:val="20"/>
              </w:rPr>
              <w:t>季节差异</w:t>
            </w:r>
          </w:p>
        </w:tc>
        <w:tc>
          <w:tcPr>
            <w:tcW w:type="dxa" w:w="7705"/>
            <w:tcMar>
              <w:top w:w="65" w:type="dxa"/>
              <w:bottom w:w="65" w:type="dxa"/>
              <w:left w:w="90" w:type="dxa"/>
              <w:right w:w="90" w:type="dxa"/>
            </w:tcMar>
          </w:tcPr>
          <w:p>
            <w:pPr>
              <w:keepNext w:val="0"/>
              <w:keepLines/>
              <w:spacing w:line="259" w:lineRule="auto" w:after="40"/>
            </w:pPr>
            <w:r>
              <w:rPr>
                <w:b w:val="0"/>
                <w:sz w:val="20"/>
              </w:rPr>
              <w:t>夏秋样本的直接比较，不能自动解释为季节或食物的因果作用</w:t>
            </w:r>
          </w:p>
        </w:tc>
      </w:tr>
    </w:tbl>
    <w:p>
      <w:pPr>
        <w:spacing w:after="20"/>
      </w:pPr>
    </w:p>
    <w:p>
      <w:pPr>
        <w:pStyle w:val="Heading1"/>
        <w:pageBreakBefore/>
      </w:pPr>
      <w:r>
        <w:t>13 文献依据与方法资源</w:t>
      </w:r>
    </w:p>
    <w:p>
      <w:r>
        <w:rPr>
          <w:b w:val="0"/>
        </w:rPr>
        <w:t>[1] Roeleke M, Bumrungsri S, Voigt CC. 2018. Bats probe the aerosphere during landscape-guided altitudinal flights. Mammal Review 48:7–11. DOI: 10.1111/mam.12109。依据为用户上传的原文提取文本；已读方法、结果和讨论。</w:t>
      </w:r>
    </w:p>
    <w:p>
      <w:r>
        <w:rPr>
          <w:b w:val="0"/>
        </w:rPr>
        <w:t>[2] O’Mara MT and colleagues. 2021. Bats use topography and nocturnal updrafts to fly high and fast. Current Biology，Supplemental Information。当前已读8页补充材料；正文、完整书目信息及收益主张仍待核对。</w:t>
      </w:r>
    </w:p>
    <w:p>
      <w:r>
        <w:rPr>
          <w:b w:val="0"/>
        </w:rPr>
        <w:t>最新分析数值来源为CODEX_HANDOFF_20261014.md。其统计输出尚未在当前环境独立复现。本版没有生成新统计结果，也未将九月份报告作为论证依据。</w:t>
      </w:r>
    </w:p>
    <w:p>
      <w:r>
        <w:rPr>
          <w:b w:val="0"/>
        </w:rPr>
        <w:t>写作组织使用社区项目Yuan1z0825/nature-skills中的nature-writing及nature-shared；证据评价参考K-Dense-AI/claude-scientific-skills中的scientific-writing和scientific-critical-thinking。它们是工作流程资源，不是期刊官方要求或研究结论的证据。科学技能项目要求引用其方法论文arXiv:2609.00065；该标识由技能提供，尚未独立核验，因此暂只在工具记录中保留，不列为已核验学术文献。</w:t>
      </w:r>
    </w:p>
    <w:p>
      <w:r>
        <w:rPr>
          <w:b w:val="0"/>
        </w:rPr>
        <w:t>资源地址：https://github.com/Yuan1z0825/nature-skills</w:t>
      </w:r>
    </w:p>
    <w:p>
      <w:r>
        <w:rPr>
          <w:b w:val="0"/>
        </w:rPr>
        <w:t>资源地址：https://github.com/K-Dense-AI/claude-scientific-skills</w:t>
      </w:r>
    </w:p>
    <w:p>
      <w:r>
        <w:rPr>
          <w:b w:val="0"/>
        </w:rPr>
        <w:t>检索记录：已通过GitHub发现并获取上述技能。Nature、Crossref、PLOS、PMC及Europe PMC访问被当前网络策略返回403阻止，因此尚未完成新的学术数据库检索或系统文献覆盖，不作“无人研究过此问题”的判断。</w:t>
      </w:r>
    </w:p>
    <w:sectPr w:rsidR="00FC693F" w:rsidRPr="0006063C" w:rsidSect="00034616">
      <w:footerReference w:type="default" r:id="rId9"/>
      <w:pgSz w:w="12240" w:h="15840"/>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SC" w:hAnsi="Noto Sans CJK SC" w:eastAsia="Noto Sans CJK SC"/>
    </w:rPr>
  </w:style>
  <w:style w:type="character" w:customStyle="1" w:styleId="HeaderChar">
    <w:name w:val="Header Char"/>
    <w:basedOn w:val="DefaultParagraphFont"/>
    <w:link w:val="Header"/>
    <w:uiPriority w:val="99"/>
    <w:rsid w:val="00E618BF"/>
    <w:rPr>
      <w:rFonts w:ascii="Noto Sans CJK SC" w:hAnsi="Noto Sans CJK SC" w:eastAsia="Noto Sans CJK S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SC" w:hAnsi="Noto Sans CJK SC" w:eastAsia="Noto Sans CJK SC"/>
    </w:rPr>
  </w:style>
  <w:style w:type="character" w:customStyle="1" w:styleId="FooterChar">
    <w:name w:val="Footer Char"/>
    <w:basedOn w:val="DefaultParagraphFont"/>
    <w:link w:val="Footer"/>
    <w:uiPriority w:val="99"/>
    <w:rsid w:val="00E618BF"/>
    <w:rPr>
      <w:rFonts w:ascii="Noto Sans CJK SC" w:hAnsi="Noto Sans CJK SC" w:eastAsia="Noto Sans CJK SC"/>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Noto Sans CJK SC" w:hAnsi="Noto Sans CJK SC" w:eastAsia="Noto Sans CJK SC"/>
      <w:b/>
      <w:bCs/>
      <w:color w:val="203D5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CJK SC" w:hAnsi="Noto Sans CJK SC" w:eastAsia="Noto Sans CJK SC"/>
      <w:b/>
      <w:bCs/>
      <w:color w:val="203D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SC" w:hAnsi="Noto Sans CJK SC" w:eastAsia="Noto Sans CJK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SC" w:hAnsi="Noto Sans CJK SC" w:eastAsia="Noto Sans CJK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SC" w:hAnsi="Noto Sans CJK SC" w:eastAsia="Noto Sans CJK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SC" w:hAnsi="Noto Sans CJK SC" w:eastAsia="Noto Sans CJK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SC" w:hAnsi="Noto Sans CJK SC" w:eastAsia="Noto Sans CJK SC"/>
      <w:i/>
      <w:iCs/>
      <w:color w:val="404040" w:themeColor="text1" w:themeTint="BF"/>
      <w:sz w:val="20"/>
      <w:szCs w:val="20"/>
    </w:rPr>
  </w:style>
  <w:style w:type="character" w:default="1" w:styleId="DefaultParagraphFont">
    <w:name w:val="Default Paragraph Font"/>
    <w:uiPriority w:val="1"/>
    <w:semiHidden/>
    <w:unhideWhenUsed/>
    <w:rPr>
      <w:rFonts w:ascii="Noto Sans CJK SC" w:hAnsi="Noto Sans CJK SC" w:eastAsia="Noto Sans CJK SC"/>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SC" w:hAnsi="Noto Sans CJK SC" w:eastAsia="Noto Sans CJK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CJK SC" w:hAnsi="Noto Sans CJK SC" w:eastAsia="Noto Sans CJK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CJK SC" w:hAnsi="Noto Sans CJK SC" w:eastAsia="Noto Sans CJK SC"/>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SC" w:hAnsi="Noto Sans CJK SC" w:eastAsia="Noto Sans CJK SC"/>
    </w:r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rPr>
  </w:style>
  <w:style w:type="character" w:customStyle="1" w:styleId="BodyTextChar">
    <w:name w:val="Body Text Char"/>
    <w:basedOn w:val="DefaultParagraphFont"/>
    <w:link w:val="BodyText"/>
    <w:uiPriority w:val="99"/>
    <w:rsid w:val="00AA1D8D"/>
    <w:rPr>
      <w:rFonts w:ascii="Noto Sans CJK SC" w:hAnsi="Noto Sans CJK SC" w:eastAsia="Noto Sans CJK SC"/>
    </w:rPr>
  </w:style>
  <w:style w:type="paragraph" w:styleId="BodyText2">
    <w:name w:val="Body Text 2"/>
    <w:basedOn w:val="Normal"/>
    <w:link w:val="BodyText2Char"/>
    <w:uiPriority w:val="99"/>
    <w:unhideWhenUsed/>
    <w:rsid w:val="00AA1D8D"/>
    <w:pPr>
      <w:spacing w:after="120" w:line="480" w:lineRule="auto"/>
    </w:pPr>
    <w:rPr>
      <w:rFonts w:ascii="Noto Sans CJK SC" w:hAnsi="Noto Sans CJK SC" w:eastAsia="Noto Sans CJK SC"/>
    </w:rPr>
  </w:style>
  <w:style w:type="character" w:customStyle="1" w:styleId="BodyText2Char">
    <w:name w:val="Body Text 2 Char"/>
    <w:basedOn w:val="DefaultParagraphFont"/>
    <w:link w:val="BodyText2"/>
    <w:uiPriority w:val="99"/>
    <w:rsid w:val="00AA1D8D"/>
    <w:rPr>
      <w:rFonts w:ascii="Noto Sans CJK SC" w:hAnsi="Noto Sans CJK SC" w:eastAsia="Noto Sans CJK SC"/>
    </w:rPr>
  </w:style>
  <w:style w:type="paragraph" w:styleId="BodyText3">
    <w:name w:val="Body Text 3"/>
    <w:basedOn w:val="Normal"/>
    <w:link w:val="BodyText3Char"/>
    <w:uiPriority w:val="99"/>
    <w:unhideWhenUsed/>
    <w:rsid w:val="00AA1D8D"/>
    <w:pPr>
      <w:spacing w:after="120"/>
    </w:pPr>
    <w:rPr>
      <w:rFonts w:ascii="Noto Sans CJK SC" w:hAnsi="Noto Sans CJK SC" w:eastAsia="Noto Sans CJK SC"/>
      <w:sz w:val="16"/>
      <w:szCs w:val="16"/>
    </w:rPr>
  </w:style>
  <w:style w:type="character" w:customStyle="1" w:styleId="BodyText3Char">
    <w:name w:val="Body Text 3 Char"/>
    <w:basedOn w:val="DefaultParagraphFont"/>
    <w:link w:val="BodyText3"/>
    <w:uiPriority w:val="99"/>
    <w:rsid w:val="00AA1D8D"/>
    <w:rPr>
      <w:rFonts w:ascii="Noto Sans CJK SC" w:hAnsi="Noto Sans CJK SC" w:eastAsia="Noto Sans CJK SC"/>
      <w:sz w:val="16"/>
      <w:szCs w:val="16"/>
    </w:rPr>
  </w:style>
  <w:style w:type="paragraph" w:styleId="List">
    <w:name w:val="List"/>
    <w:basedOn w:val="Normal"/>
    <w:uiPriority w:val="99"/>
    <w:unhideWhenUsed/>
    <w:rsid w:val="00AA1D8D"/>
    <w:pPr>
      <w:ind w:left="360" w:hanging="360"/>
      <w:contextualSpacing/>
    </w:pPr>
    <w:rPr>
      <w:rFonts w:ascii="Noto Sans CJK SC" w:hAnsi="Noto Sans CJK SC" w:eastAsia="Noto Sans CJK SC"/>
    </w:rPr>
  </w:style>
  <w:style w:type="paragraph" w:styleId="List2">
    <w:name w:val="List 2"/>
    <w:basedOn w:val="Normal"/>
    <w:uiPriority w:val="99"/>
    <w:unhideWhenUsed/>
    <w:rsid w:val="00326F90"/>
    <w:pPr>
      <w:ind w:left="720" w:hanging="360"/>
      <w:contextualSpacing/>
    </w:pPr>
    <w:rPr>
      <w:rFonts w:ascii="Noto Sans CJK SC" w:hAnsi="Noto Sans CJK SC" w:eastAsia="Noto Sans CJK SC"/>
    </w:rPr>
  </w:style>
  <w:style w:type="paragraph" w:styleId="List3">
    <w:name w:val="List 3"/>
    <w:basedOn w:val="Normal"/>
    <w:uiPriority w:val="99"/>
    <w:unhideWhenUsed/>
    <w:rsid w:val="00326F90"/>
    <w:pPr>
      <w:ind w:left="1080" w:hanging="360"/>
      <w:contextualSpacing/>
    </w:pPr>
    <w:rPr>
      <w:rFonts w:ascii="Noto Sans CJK SC" w:hAnsi="Noto Sans CJK SC" w:eastAsia="Noto Sans CJK SC"/>
    </w:r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rPr>
  </w:style>
  <w:style w:type="paragraph" w:styleId="ListBullet3">
    <w:name w:val="List Bullet 3"/>
    <w:basedOn w:val="Normal"/>
    <w:uiPriority w:val="99"/>
    <w:unhideWhenUsed/>
    <w:rsid w:val="00326F90"/>
    <w:pPr>
      <w:numPr>
        <w:numId w:val="3"/>
      </w:numPr>
      <w:contextualSpacing/>
    </w:pPr>
    <w:rPr>
      <w:rFonts w:ascii="Noto Sans CJK SC" w:hAnsi="Noto Sans CJK SC" w:eastAsia="Noto Sans CJK SC"/>
    </w:r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rPr>
  </w:style>
  <w:style w:type="paragraph" w:styleId="ListNumber3">
    <w:name w:val="List Number 3"/>
    <w:basedOn w:val="Normal"/>
    <w:uiPriority w:val="99"/>
    <w:unhideWhenUsed/>
    <w:rsid w:val="0029639D"/>
    <w:pPr>
      <w:numPr>
        <w:numId w:val="7"/>
      </w:numPr>
      <w:contextualSpacing/>
    </w:pPr>
    <w:rPr>
      <w:rFonts w:ascii="Noto Sans CJK SC" w:hAnsi="Noto Sans CJK SC" w:eastAsia="Noto Sans CJK SC"/>
    </w:rPr>
  </w:style>
  <w:style w:type="paragraph" w:styleId="ListContinue">
    <w:name w:val="List Continue"/>
    <w:basedOn w:val="Normal"/>
    <w:uiPriority w:val="99"/>
    <w:unhideWhenUsed/>
    <w:rsid w:val="0029639D"/>
    <w:pPr>
      <w:spacing w:after="120"/>
      <w:ind w:left="360"/>
      <w:contextualSpacing/>
    </w:pPr>
    <w:rPr>
      <w:rFonts w:ascii="Noto Sans CJK SC" w:hAnsi="Noto Sans CJK SC" w:eastAsia="Noto Sans CJK SC"/>
    </w:rPr>
  </w:style>
  <w:style w:type="paragraph" w:styleId="ListContinue2">
    <w:name w:val="List Continue 2"/>
    <w:basedOn w:val="Normal"/>
    <w:uiPriority w:val="99"/>
    <w:unhideWhenUsed/>
    <w:rsid w:val="0029639D"/>
    <w:pPr>
      <w:spacing w:after="120"/>
      <w:ind w:left="720"/>
      <w:contextualSpacing/>
    </w:pPr>
    <w:rPr>
      <w:rFonts w:ascii="Noto Sans CJK SC" w:hAnsi="Noto Sans CJK SC" w:eastAsia="Noto Sans CJK SC"/>
    </w:rPr>
  </w:style>
  <w:style w:type="paragraph" w:styleId="ListContinue3">
    <w:name w:val="List Continue 3"/>
    <w:basedOn w:val="Normal"/>
    <w:uiPriority w:val="99"/>
    <w:unhideWhenUsed/>
    <w:rsid w:val="0029639D"/>
    <w:pPr>
      <w:spacing w:after="120"/>
      <w:ind w:left="1080"/>
      <w:contextualSpacing/>
    </w:pPr>
    <w:rPr>
      <w:rFonts w:ascii="Noto Sans CJK SC" w:hAnsi="Noto Sans CJK SC" w:eastAsia="Noto Sans CJK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SC" w:hAnsi="Noto Sans CJK SC" w:eastAsia="Noto Sans CJK SC"/>
      <w:sz w:val="20"/>
      <w:szCs w:val="20"/>
    </w:rPr>
  </w:style>
  <w:style w:type="character" w:customStyle="1" w:styleId="MacroTextChar">
    <w:name w:val="Macro Text Char"/>
    <w:basedOn w:val="DefaultParagraphFont"/>
    <w:link w:val="MacroText"/>
    <w:uiPriority w:val="99"/>
    <w:rsid w:val="0029639D"/>
    <w:rPr>
      <w:rFonts w:ascii="Noto Sans CJK SC" w:hAnsi="Noto Sans CJK SC" w:eastAsia="Noto Sans CJK SC"/>
      <w:sz w:val="20"/>
      <w:szCs w:val="20"/>
    </w:rPr>
  </w:style>
  <w:style w:type="paragraph" w:styleId="Quote">
    <w:name w:val="Quote"/>
    <w:basedOn w:val="Normal"/>
    <w:next w:val="Normal"/>
    <w:link w:val="QuoteChar"/>
    <w:uiPriority w:val="29"/>
    <w:qFormat/>
    <w:rsid w:val="00FC693F"/>
    <w:rPr>
      <w:rFonts w:ascii="Noto Sans CJK SC" w:hAnsi="Noto Sans CJK SC" w:eastAsia="Noto Sans CJK SC"/>
      <w:i/>
      <w:iCs/>
      <w:color w:val="000000" w:themeColor="text1"/>
    </w:rPr>
  </w:style>
  <w:style w:type="character" w:customStyle="1" w:styleId="QuoteChar">
    <w:name w:val="Quote Char"/>
    <w:basedOn w:val="DefaultParagraphFont"/>
    <w:link w:val="Quote"/>
    <w:uiPriority w:val="29"/>
    <w:rsid w:val="00FC693F"/>
    <w:rPr>
      <w:rFonts w:ascii="Noto Sans CJK SC" w:hAnsi="Noto Sans CJK SC" w:eastAsia="Noto Sans CJK S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CJK SC" w:hAnsi="Noto Sans CJK SC" w:eastAsia="Noto Sans CJK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CJK SC" w:hAnsi="Noto Sans CJK SC" w:eastAsia="Noto Sans CJK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CJK SC" w:hAnsi="Noto Sans CJK SC" w:eastAsia="Noto Sans CJK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CJK SC" w:hAnsi="Noto Sans CJK SC" w:eastAsia="Noto Sans CJK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CJK SC" w:hAnsi="Noto Sans CJK SC" w:eastAsia="Noto Sans CJK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CJK SC" w:hAnsi="Noto Sans CJK SC" w:eastAsia="Noto Sans CJK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b/>
      <w:bCs/>
      <w:color w:val="4F81BD" w:themeColor="accent1"/>
      <w:sz w:val="18"/>
      <w:szCs w:val="18"/>
    </w:rPr>
  </w:style>
  <w:style w:type="character" w:styleId="Strong">
    <w:name w:val="Strong"/>
    <w:basedOn w:val="DefaultParagraphFont"/>
    <w:uiPriority w:val="22"/>
    <w:qFormat/>
    <w:rsid w:val="00FC693F"/>
    <w:rPr>
      <w:rFonts w:ascii="Noto Sans CJK SC" w:hAnsi="Noto Sans CJK SC" w:eastAsia="Noto Sans CJK SC"/>
      <w:b/>
      <w:bCs/>
    </w:rPr>
  </w:style>
  <w:style w:type="character" w:styleId="Emphasis">
    <w:name w:val="Emphasis"/>
    <w:basedOn w:val="DefaultParagraphFont"/>
    <w:uiPriority w:val="20"/>
    <w:qFormat/>
    <w:rsid w:val="00FC693F"/>
    <w:rPr>
      <w:rFonts w:ascii="Noto Sans CJK SC" w:hAnsi="Noto Sans CJK SC" w:eastAsia="Noto Sans CJK SC"/>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Noto Sans CJK SC" w:hAnsi="Noto Sans CJK SC" w:eastAsia="Noto Sans CJK SC"/>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SC" w:hAnsi="Noto Sans CJK SC" w:eastAsia="Noto Sans CJK SC"/>
      <w:b/>
      <w:bCs/>
      <w:i/>
      <w:iCs/>
      <w:color w:val="4F81BD" w:themeColor="accent1"/>
    </w:rPr>
  </w:style>
  <w:style w:type="character" w:styleId="SubtleEmphasis">
    <w:name w:val="Subtle Emphasis"/>
    <w:basedOn w:val="DefaultParagraphFont"/>
    <w:uiPriority w:val="19"/>
    <w:qFormat/>
    <w:rsid w:val="00FC693F"/>
    <w:rPr>
      <w:rFonts w:ascii="Noto Sans CJK SC" w:hAnsi="Noto Sans CJK SC" w:eastAsia="Noto Sans CJK SC"/>
      <w:i/>
      <w:iCs/>
      <w:color w:val="808080" w:themeColor="text1" w:themeTint="7F"/>
    </w:rPr>
  </w:style>
  <w:style w:type="character" w:styleId="IntenseEmphasis">
    <w:name w:val="Intense Emphasis"/>
    <w:basedOn w:val="DefaultParagraphFont"/>
    <w:uiPriority w:val="21"/>
    <w:qFormat/>
    <w:rsid w:val="00FC693F"/>
    <w:rPr>
      <w:rFonts w:ascii="Noto Sans CJK SC" w:hAnsi="Noto Sans CJK SC" w:eastAsia="Noto Sans CJK SC"/>
      <w:b/>
      <w:bCs/>
      <w:i/>
      <w:iCs/>
      <w:color w:val="4F81BD" w:themeColor="accent1"/>
    </w:rPr>
  </w:style>
  <w:style w:type="character" w:styleId="SubtleReference">
    <w:name w:val="Subtle Reference"/>
    <w:basedOn w:val="DefaultParagraphFont"/>
    <w:uiPriority w:val="31"/>
    <w:qFormat/>
    <w:rsid w:val="00FC693F"/>
    <w:rPr>
      <w:rFonts w:ascii="Noto Sans CJK SC" w:hAnsi="Noto Sans CJK SC" w:eastAsia="Noto Sans CJK SC"/>
      <w:smallCaps/>
      <w:color w:val="C0504D" w:themeColor="accent2"/>
      <w:u w:val="single"/>
    </w:rPr>
  </w:style>
  <w:style w:type="character" w:styleId="IntenseReference">
    <w:name w:val="Intense Reference"/>
    <w:basedOn w:val="DefaultParagraphFont"/>
    <w:uiPriority w:val="32"/>
    <w:qFormat/>
    <w:rsid w:val="00FC693F"/>
    <w:rPr>
      <w:rFonts w:ascii="Noto Sans CJK SC" w:hAnsi="Noto Sans CJK SC" w:eastAsia="Noto Sans CJK SC"/>
      <w:b/>
      <w:bCs/>
      <w:smallCaps/>
      <w:color w:val="C0504D" w:themeColor="accent2"/>
      <w:spacing w:val="5"/>
      <w:u w:val="single"/>
    </w:rPr>
  </w:style>
  <w:style w:type="character" w:styleId="BookTitle">
    <w:name w:val="Book Title"/>
    <w:basedOn w:val="DefaultParagraphFont"/>
    <w:uiPriority w:val="33"/>
    <w:qFormat/>
    <w:rsid w:val="00FC693F"/>
    <w:rPr>
      <w:rFonts w:ascii="Noto Sans CJK SC" w:hAnsi="Noto Sans CJK SC" w:eastAsia="Noto Sans CJK SC"/>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南蝠地形利用季节差异的论文框架</dc:title>
  <dc:subject>整体地形使用 季节差异 行为表现与食物背景</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