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南蝠夏秋地形利用阶段分析</w:t>
      </w:r>
    </w:p>
    <w:p>
      <w:r>
        <w:t>2021 年夏秋数据核查与描述性结果  |  2026 年 10 月 14 日</w:t>
      </w:r>
    </w:p>
    <w:p>
      <w:r>
        <w:t>现有汇总记录显示夏秋在高度相关字段、地形粗糙度字段及轨迹形态上存在描述性差别。这些差别提供了后续分析线索，但不能据此判断哪个季节对地形的选择更强。整体选择问题需要将实际使用位置与可利用地形背景直接比较。</w:t>
      </w:r>
    </w:p>
    <w:p>
      <w:pPr>
        <w:pStyle w:val="Heading1"/>
      </w:pPr>
      <w:r>
        <w:t>当前完成的工作</w:t>
      </w:r>
    </w:p>
    <w:p>
      <w:r>
        <w:t>本次实际计算了 27 条夏秋汇总记录的字段审计、全部 16 个数值字段的季节描述统计，以及按原始设备标签等权汇总的敏感性检查。最新交接说明中的 7 条已报告模型估计已逐项转录并绘图；这些数值并非本次重新拟合的结果。</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948"/>
        <w:gridCol w:w="3402"/>
        <w:gridCol w:w="3623"/>
      </w:tblGrid>
      <w:tr>
        <w:trPr>
          <w:cantSplit/>
          <w:tblHeader/>
        </w:trPr>
        <w:tc>
          <w:tcPr>
            <w:tcW w:type="dxa" w:w="2948"/>
            <w:shd w:fill="E7EEF4"/>
          </w:tcPr>
          <w:p>
            <w:pPr>
              <w:spacing w:after="60" w:before="60"/>
            </w:pPr>
            <w:r>
              <w:rPr>
                <w:b/>
                <w:sz w:val="18"/>
              </w:rPr>
              <w:t>项目</w:t>
            </w:r>
          </w:p>
        </w:tc>
        <w:tc>
          <w:tcPr>
            <w:tcW w:type="dxa" w:w="3402"/>
            <w:shd w:fill="E7EEF4"/>
          </w:tcPr>
          <w:p>
            <w:pPr>
              <w:spacing w:after="60" w:before="60"/>
            </w:pPr>
            <w:r>
              <w:rPr>
                <w:b/>
                <w:sz w:val="18"/>
              </w:rPr>
              <w:t>2021 夏季</w:t>
            </w:r>
          </w:p>
        </w:tc>
        <w:tc>
          <w:tcPr>
            <w:tcW w:type="dxa" w:w="3623"/>
            <w:shd w:fill="E7EEF4"/>
          </w:tcPr>
          <w:p>
            <w:pPr>
              <w:spacing w:after="60" w:before="60"/>
            </w:pPr>
            <w:r>
              <w:rPr>
                <w:b/>
                <w:sz w:val="18"/>
              </w:rPr>
              <w:t>2021 秋季</w:t>
            </w:r>
          </w:p>
        </w:tc>
      </w:tr>
      <w:tr>
        <w:trPr>
          <w:cantSplit/>
        </w:trPr>
        <w:tc>
          <w:tcPr>
            <w:tcW w:type="dxa" w:w="2948"/>
          </w:tcPr>
          <w:p>
            <w:pPr>
              <w:spacing w:after="60" w:before="60"/>
            </w:pPr>
            <w:r>
              <w:rPr>
                <w:sz w:val="18"/>
              </w:rPr>
              <w:t>汇总记录数</w:t>
            </w:r>
          </w:p>
        </w:tc>
        <w:tc>
          <w:tcPr>
            <w:tcW w:type="dxa" w:w="3402"/>
          </w:tcPr>
          <w:p>
            <w:pPr>
              <w:spacing w:after="60" w:before="60"/>
            </w:pPr>
            <w:r>
              <w:rPr>
                <w:sz w:val="18"/>
              </w:rPr>
              <w:t>13</w:t>
            </w:r>
          </w:p>
        </w:tc>
        <w:tc>
          <w:tcPr>
            <w:tcW w:type="dxa" w:w="3623"/>
          </w:tcPr>
          <w:p>
            <w:pPr>
              <w:spacing w:after="60" w:before="60"/>
            </w:pPr>
            <w:r>
              <w:rPr>
                <w:sz w:val="18"/>
              </w:rPr>
              <w:t>14</w:t>
            </w:r>
          </w:p>
        </w:tc>
      </w:tr>
      <w:tr>
        <w:trPr>
          <w:cantSplit/>
        </w:trPr>
        <w:tc>
          <w:tcPr>
            <w:tcW w:type="dxa" w:w="2948"/>
          </w:tcPr>
          <w:p>
            <w:pPr>
              <w:spacing w:after="60" w:before="60"/>
            </w:pPr>
            <w:r>
              <w:rPr>
                <w:sz w:val="18"/>
              </w:rPr>
              <w:t>原始设备标签数</w:t>
            </w:r>
          </w:p>
        </w:tc>
        <w:tc>
          <w:tcPr>
            <w:tcW w:type="dxa" w:w="3402"/>
          </w:tcPr>
          <w:p>
            <w:pPr>
              <w:spacing w:after="60" w:before="60"/>
            </w:pPr>
            <w:r>
              <w:rPr>
                <w:sz w:val="18"/>
              </w:rPr>
              <w:t>11</w:t>
            </w:r>
          </w:p>
        </w:tc>
        <w:tc>
          <w:tcPr>
            <w:tcW w:type="dxa" w:w="3623"/>
          </w:tcPr>
          <w:p>
            <w:pPr>
              <w:spacing w:after="60" w:before="60"/>
            </w:pPr>
            <w:r>
              <w:rPr>
                <w:sz w:val="18"/>
              </w:rPr>
              <w:t>7</w:t>
            </w:r>
          </w:p>
        </w:tc>
      </w:tr>
      <w:tr>
        <w:trPr>
          <w:cantSplit/>
        </w:trPr>
        <w:tc>
          <w:tcPr>
            <w:tcW w:type="dxa" w:w="2948"/>
          </w:tcPr>
          <w:p>
            <w:pPr>
              <w:spacing w:after="60" w:before="60"/>
            </w:pPr>
            <w:r>
              <w:rPr>
                <w:sz w:val="18"/>
              </w:rPr>
              <w:t>覆盖日历日期数</w:t>
            </w:r>
          </w:p>
        </w:tc>
        <w:tc>
          <w:tcPr>
            <w:tcW w:type="dxa" w:w="3402"/>
          </w:tcPr>
          <w:p>
            <w:pPr>
              <w:spacing w:after="60" w:before="60"/>
            </w:pPr>
            <w:r>
              <w:rPr>
                <w:sz w:val="18"/>
              </w:rPr>
              <w:t>6</w:t>
            </w:r>
          </w:p>
        </w:tc>
        <w:tc>
          <w:tcPr>
            <w:tcW w:type="dxa" w:w="3623"/>
          </w:tcPr>
          <w:p>
            <w:pPr>
              <w:spacing w:after="60" w:before="60"/>
            </w:pPr>
            <w:r>
              <w:rPr>
                <w:sz w:val="18"/>
              </w:rPr>
              <w:t>5</w:t>
            </w:r>
          </w:p>
        </w:tc>
      </w:tr>
      <w:tr>
        <w:trPr>
          <w:cantSplit/>
        </w:trPr>
        <w:tc>
          <w:tcPr>
            <w:tcW w:type="dxa" w:w="2948"/>
          </w:tcPr>
          <w:p>
            <w:pPr>
              <w:spacing w:after="60" w:before="60"/>
            </w:pPr>
            <w:r>
              <w:rPr>
                <w:sz w:val="18"/>
              </w:rPr>
              <w:t>日期范围</w:t>
            </w:r>
          </w:p>
        </w:tc>
        <w:tc>
          <w:tcPr>
            <w:tcW w:type="dxa" w:w="3402"/>
          </w:tcPr>
          <w:p>
            <w:pPr>
              <w:spacing w:after="60" w:before="60"/>
            </w:pPr>
            <w:r>
              <w:rPr>
                <w:sz w:val="18"/>
              </w:rPr>
              <w:t>6 月 18 日至 7 月 2 日</w:t>
            </w:r>
          </w:p>
        </w:tc>
        <w:tc>
          <w:tcPr>
            <w:tcW w:type="dxa" w:w="3623"/>
          </w:tcPr>
          <w:p>
            <w:pPr>
              <w:spacing w:after="60" w:before="60"/>
            </w:pPr>
            <w:r>
              <w:rPr>
                <w:sz w:val="18"/>
              </w:rPr>
              <w:t>11 月 24 日至 11 月 28 日</w:t>
            </w:r>
          </w:p>
        </w:tc>
      </w:tr>
      <w:tr>
        <w:trPr>
          <w:cantSplit/>
        </w:trPr>
        <w:tc>
          <w:tcPr>
            <w:tcW w:type="dxa" w:w="2948"/>
          </w:tcPr>
          <w:p>
            <w:pPr>
              <w:spacing w:after="60" w:before="60"/>
            </w:pPr>
            <w:r>
              <w:rPr>
                <w:sz w:val="18"/>
              </w:rPr>
              <w:t>n 字段合计</w:t>
            </w:r>
          </w:p>
        </w:tc>
        <w:tc>
          <w:tcPr>
            <w:tcW w:type="dxa" w:w="3402"/>
          </w:tcPr>
          <w:p>
            <w:pPr>
              <w:spacing w:after="60" w:before="60"/>
            </w:pPr>
            <w:r>
              <w:rPr>
                <w:sz w:val="18"/>
              </w:rPr>
              <w:t>1047</w:t>
            </w:r>
          </w:p>
        </w:tc>
        <w:tc>
          <w:tcPr>
            <w:tcW w:type="dxa" w:w="3623"/>
          </w:tcPr>
          <w:p>
            <w:pPr>
              <w:spacing w:after="60" w:before="60"/>
            </w:pPr>
            <w:r>
              <w:rPr>
                <w:sz w:val="18"/>
              </w:rPr>
              <w:t>1230</w:t>
            </w:r>
          </w:p>
        </w:tc>
      </w:tr>
      <w:tr>
        <w:trPr>
          <w:cantSplit/>
        </w:trPr>
        <w:tc>
          <w:tcPr>
            <w:tcW w:type="dxa" w:w="2948"/>
          </w:tcPr>
          <w:p>
            <w:pPr>
              <w:spacing w:after="60" w:before="60"/>
            </w:pPr>
            <w:r>
              <w:rPr>
                <w:sz w:val="18"/>
              </w:rPr>
              <w:t>每条记录 n 范围</w:t>
            </w:r>
          </w:p>
        </w:tc>
        <w:tc>
          <w:tcPr>
            <w:tcW w:type="dxa" w:w="3402"/>
          </w:tcPr>
          <w:p>
            <w:pPr>
              <w:spacing w:after="60" w:before="60"/>
            </w:pPr>
            <w:r>
              <w:rPr>
                <w:sz w:val="18"/>
              </w:rPr>
              <w:t>17–167</w:t>
            </w:r>
          </w:p>
        </w:tc>
        <w:tc>
          <w:tcPr>
            <w:tcW w:type="dxa" w:w="3623"/>
          </w:tcPr>
          <w:p>
            <w:pPr>
              <w:spacing w:after="60" w:before="60"/>
            </w:pPr>
            <w:r>
              <w:rPr>
                <w:sz w:val="18"/>
              </w:rPr>
              <w:t>6–219</w:t>
            </w:r>
          </w:p>
        </w:tc>
      </w:tr>
    </w:tbl>
    <w:p>
      <w:pPr>
        <w:spacing w:after="20"/>
      </w:pPr>
    </w:p>
    <w:p>
      <w:pPr>
        <w:pStyle w:val="Heading1"/>
      </w:pPr>
      <w:r>
        <w:t>决定后续解释的核查事项</w:t>
      </w:r>
    </w:p>
    <w:p>
      <w:r>
        <w:t>设备标签尚未与生物学个体逐一对应。NENU11.2、NENU11.3 等标签可能与 NENU011 有关，但本次未擅自合并。汇总行也不能自动称为独立夜晚；即使合并候选标签，同一个体同一天仍可能有多段记录。</w:t>
      </w:r>
    </w:p>
    <w:p>
      <w:r>
        <w:t>2021 数据无空值、重复的季节—设备—日期键或非有限数值；net/path=straight 与 path/n=mean_step 两个代数关系成立。负的 height_med 和 wind 值被保留并标记，不能在定义不明时判错或当作绝对高度、风速。2024 秋季不进入主比较，其两条 straight&gt;1 的记录只记录为历史数据问题。</w:t>
      </w:r>
    </w:p>
    <w:p>
      <w:r>
        <w:t>食物差异目前只有文献依据，没有本项目的食物或食性观测。因此食物作为研究动机及讨论解释，不进入本次回归或因果检验。</w:t>
      </w:r>
    </w:p>
    <w:p>
      <w:r>
        <w:br w:type="page"/>
      </w:r>
    </w:p>
    <w:p>
      <w:pPr>
        <w:pStyle w:val="Heading1"/>
      </w:pPr>
      <w:r>
        <w:t>夏秋描述统计</w:t>
      </w:r>
    </w:p>
    <w:p>
      <w:r>
        <w:t>下表按汇总记录等权计算，格式为中位数［第 25 百分位，第 75 百分位］。字段保留原名与原始数值尺度；单位、计算方式及高度基准需结合原脚本确认。四分位区间描述记录分布，不是置信区间。</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268"/>
        <w:gridCol w:w="3849"/>
        <w:gridCol w:w="3855"/>
      </w:tblGrid>
      <w:tr>
        <w:trPr>
          <w:cantSplit/>
          <w:tblHeader/>
        </w:trPr>
        <w:tc>
          <w:tcPr>
            <w:tcW w:type="dxa" w:w="2268"/>
            <w:shd w:fill="E7EEF4"/>
          </w:tcPr>
          <w:p>
            <w:pPr>
              <w:spacing w:after="60" w:before="60"/>
            </w:pPr>
            <w:r>
              <w:rPr>
                <w:b/>
                <w:sz w:val="18"/>
              </w:rPr>
              <w:t>CSV 字段</w:t>
            </w:r>
          </w:p>
        </w:tc>
        <w:tc>
          <w:tcPr>
            <w:tcW w:type="dxa" w:w="3849"/>
            <w:shd w:fill="E7EEF4"/>
          </w:tcPr>
          <w:p>
            <w:pPr>
              <w:spacing w:after="60" w:before="60"/>
            </w:pPr>
            <w:r>
              <w:rPr>
                <w:b/>
                <w:sz w:val="18"/>
              </w:rPr>
              <w:t>夏季 13 条记录</w:t>
            </w:r>
          </w:p>
        </w:tc>
        <w:tc>
          <w:tcPr>
            <w:tcW w:type="dxa" w:w="3855"/>
            <w:shd w:fill="E7EEF4"/>
          </w:tcPr>
          <w:p>
            <w:pPr>
              <w:spacing w:after="60" w:before="60"/>
            </w:pPr>
            <w:r>
              <w:rPr>
                <w:b/>
                <w:sz w:val="18"/>
              </w:rPr>
              <w:t>秋季 14 条记录</w:t>
            </w:r>
          </w:p>
        </w:tc>
      </w:tr>
      <w:tr>
        <w:trPr>
          <w:cantSplit/>
        </w:trPr>
        <w:tc>
          <w:tcPr>
            <w:tcW w:type="dxa" w:w="2268"/>
          </w:tcPr>
          <w:p>
            <w:pPr>
              <w:spacing w:after="60" w:before="60"/>
            </w:pPr>
            <w:r>
              <w:rPr>
                <w:sz w:val="18"/>
              </w:rPr>
              <w:t>n</w:t>
            </w:r>
          </w:p>
        </w:tc>
        <w:tc>
          <w:tcPr>
            <w:tcW w:type="dxa" w:w="3849"/>
          </w:tcPr>
          <w:p>
            <w:pPr>
              <w:spacing w:after="60" w:before="60"/>
            </w:pPr>
            <w:r>
              <w:rPr>
                <w:sz w:val="18"/>
              </w:rPr>
              <w:t>67.00 [36.00, 122.00]</w:t>
            </w:r>
          </w:p>
        </w:tc>
        <w:tc>
          <w:tcPr>
            <w:tcW w:type="dxa" w:w="3855"/>
          </w:tcPr>
          <w:p>
            <w:pPr>
              <w:spacing w:after="60" w:before="60"/>
            </w:pPr>
            <w:r>
              <w:rPr>
                <w:sz w:val="18"/>
              </w:rPr>
              <w:t>70.00 [25.25, 124.50]</w:t>
            </w:r>
          </w:p>
        </w:tc>
      </w:tr>
      <w:tr>
        <w:trPr>
          <w:cantSplit/>
        </w:trPr>
        <w:tc>
          <w:tcPr>
            <w:tcW w:type="dxa" w:w="2268"/>
          </w:tcPr>
          <w:p>
            <w:pPr>
              <w:spacing w:after="60" w:before="60"/>
            </w:pPr>
            <w:r>
              <w:rPr>
                <w:sz w:val="18"/>
              </w:rPr>
              <w:t>path</w:t>
            </w:r>
          </w:p>
        </w:tc>
        <w:tc>
          <w:tcPr>
            <w:tcW w:type="dxa" w:w="3849"/>
          </w:tcPr>
          <w:p>
            <w:pPr>
              <w:spacing w:after="60" w:before="60"/>
            </w:pPr>
            <w:r>
              <w:rPr>
                <w:sz w:val="18"/>
              </w:rPr>
              <w:t>8398.40 [5997.75, 14994.02]</w:t>
            </w:r>
          </w:p>
        </w:tc>
        <w:tc>
          <w:tcPr>
            <w:tcW w:type="dxa" w:w="3855"/>
          </w:tcPr>
          <w:p>
            <w:pPr>
              <w:spacing w:after="60" w:before="60"/>
            </w:pPr>
            <w:r>
              <w:rPr>
                <w:sz w:val="18"/>
              </w:rPr>
              <w:t>17750.18 [9571.77, 22645.34]</w:t>
            </w:r>
          </w:p>
        </w:tc>
      </w:tr>
      <w:tr>
        <w:trPr>
          <w:cantSplit/>
        </w:trPr>
        <w:tc>
          <w:tcPr>
            <w:tcW w:type="dxa" w:w="2268"/>
          </w:tcPr>
          <w:p>
            <w:pPr>
              <w:spacing w:after="60" w:before="60"/>
            </w:pPr>
            <w:r>
              <w:rPr>
                <w:sz w:val="18"/>
              </w:rPr>
              <w:t>net</w:t>
            </w:r>
          </w:p>
        </w:tc>
        <w:tc>
          <w:tcPr>
            <w:tcW w:type="dxa" w:w="3849"/>
          </w:tcPr>
          <w:p>
            <w:pPr>
              <w:spacing w:after="60" w:before="60"/>
            </w:pPr>
            <w:r>
              <w:rPr>
                <w:sz w:val="18"/>
              </w:rPr>
              <w:t>1928.85 [1383.99, 2541.45]</w:t>
            </w:r>
          </w:p>
        </w:tc>
        <w:tc>
          <w:tcPr>
            <w:tcW w:type="dxa" w:w="3855"/>
          </w:tcPr>
          <w:p>
            <w:pPr>
              <w:spacing w:after="60" w:before="60"/>
            </w:pPr>
            <w:r>
              <w:rPr>
                <w:sz w:val="18"/>
              </w:rPr>
              <w:t>4405.25 [751.45, 7208.91]</w:t>
            </w:r>
          </w:p>
        </w:tc>
      </w:tr>
      <w:tr>
        <w:trPr>
          <w:cantSplit/>
        </w:trPr>
        <w:tc>
          <w:tcPr>
            <w:tcW w:type="dxa" w:w="2268"/>
          </w:tcPr>
          <w:p>
            <w:pPr>
              <w:spacing w:after="60" w:before="60"/>
            </w:pPr>
            <w:r>
              <w:rPr>
                <w:sz w:val="18"/>
              </w:rPr>
              <w:t>straight</w:t>
            </w:r>
          </w:p>
        </w:tc>
        <w:tc>
          <w:tcPr>
            <w:tcW w:type="dxa" w:w="3849"/>
          </w:tcPr>
          <w:p>
            <w:pPr>
              <w:spacing w:after="60" w:before="60"/>
            </w:pPr>
            <w:r>
              <w:rPr>
                <w:sz w:val="18"/>
              </w:rPr>
              <w:t>0.270 [0.133, 0.506]</w:t>
            </w:r>
          </w:p>
        </w:tc>
        <w:tc>
          <w:tcPr>
            <w:tcW w:type="dxa" w:w="3855"/>
          </w:tcPr>
          <w:p>
            <w:pPr>
              <w:spacing w:after="60" w:before="60"/>
            </w:pPr>
            <w:r>
              <w:rPr>
                <w:sz w:val="18"/>
              </w:rPr>
              <w:t>0.172 [0.105, 0.391]</w:t>
            </w:r>
          </w:p>
        </w:tc>
      </w:tr>
      <w:tr>
        <w:trPr>
          <w:cantSplit/>
        </w:trPr>
        <w:tc>
          <w:tcPr>
            <w:tcW w:type="dxa" w:w="2268"/>
          </w:tcPr>
          <w:p>
            <w:pPr>
              <w:spacing w:after="60" w:before="60"/>
            </w:pPr>
            <w:r>
              <w:rPr>
                <w:sz w:val="18"/>
              </w:rPr>
              <w:t>span</w:t>
            </w:r>
          </w:p>
        </w:tc>
        <w:tc>
          <w:tcPr>
            <w:tcW w:type="dxa" w:w="3849"/>
          </w:tcPr>
          <w:p>
            <w:pPr>
              <w:spacing w:after="60" w:before="60"/>
            </w:pPr>
            <w:r>
              <w:rPr>
                <w:sz w:val="18"/>
              </w:rPr>
              <w:t>3115.05 [1954.55, 5565.06]</w:t>
            </w:r>
          </w:p>
        </w:tc>
        <w:tc>
          <w:tcPr>
            <w:tcW w:type="dxa" w:w="3855"/>
          </w:tcPr>
          <w:p>
            <w:pPr>
              <w:spacing w:after="60" w:before="60"/>
            </w:pPr>
            <w:r>
              <w:rPr>
                <w:sz w:val="18"/>
              </w:rPr>
              <w:t>8564.77 [5209.20, 9336.69]</w:t>
            </w:r>
          </w:p>
        </w:tc>
      </w:tr>
      <w:tr>
        <w:trPr>
          <w:cantSplit/>
        </w:trPr>
        <w:tc>
          <w:tcPr>
            <w:tcW w:type="dxa" w:w="2268"/>
          </w:tcPr>
          <w:p>
            <w:pPr>
              <w:spacing w:after="60" w:before="60"/>
            </w:pPr>
            <w:r>
              <w:rPr>
                <w:sz w:val="18"/>
              </w:rPr>
              <w:t>mean_step</w:t>
            </w:r>
          </w:p>
        </w:tc>
        <w:tc>
          <w:tcPr>
            <w:tcW w:type="dxa" w:w="3849"/>
          </w:tcPr>
          <w:p>
            <w:pPr>
              <w:spacing w:after="60" w:before="60"/>
            </w:pPr>
            <w:r>
              <w:rPr>
                <w:sz w:val="18"/>
              </w:rPr>
              <w:t>155.90 [96.53, 214.21]</w:t>
            </w:r>
          </w:p>
        </w:tc>
        <w:tc>
          <w:tcPr>
            <w:tcW w:type="dxa" w:w="3855"/>
          </w:tcPr>
          <w:p>
            <w:pPr>
              <w:spacing w:after="60" w:before="60"/>
            </w:pPr>
            <w:r>
              <w:rPr>
                <w:sz w:val="18"/>
              </w:rPr>
              <w:t>197.30 [173.25, 304.53]</w:t>
            </w:r>
          </w:p>
        </w:tc>
      </w:tr>
      <w:tr>
        <w:trPr>
          <w:cantSplit/>
        </w:trPr>
        <w:tc>
          <w:tcPr>
            <w:tcW w:type="dxa" w:w="2268"/>
          </w:tcPr>
          <w:p>
            <w:pPr>
              <w:spacing w:after="60" w:before="60"/>
            </w:pPr>
            <w:r>
              <w:rPr>
                <w:sz w:val="18"/>
              </w:rPr>
              <w:t>median_step</w:t>
            </w:r>
          </w:p>
        </w:tc>
        <w:tc>
          <w:tcPr>
            <w:tcW w:type="dxa" w:w="3849"/>
          </w:tcPr>
          <w:p>
            <w:pPr>
              <w:spacing w:after="60" w:before="60"/>
            </w:pPr>
            <w:r>
              <w:rPr>
                <w:sz w:val="18"/>
              </w:rPr>
              <w:t>71.86 [53.55, 167.27]</w:t>
            </w:r>
          </w:p>
        </w:tc>
        <w:tc>
          <w:tcPr>
            <w:tcW w:type="dxa" w:w="3855"/>
          </w:tcPr>
          <w:p>
            <w:pPr>
              <w:spacing w:after="60" w:before="60"/>
            </w:pPr>
            <w:r>
              <w:rPr>
                <w:sz w:val="18"/>
              </w:rPr>
              <w:t>146.36 [112.41, 228.32]</w:t>
            </w:r>
          </w:p>
        </w:tc>
      </w:tr>
      <w:tr>
        <w:trPr>
          <w:cantSplit/>
        </w:trPr>
        <w:tc>
          <w:tcPr>
            <w:tcW w:type="dxa" w:w="2268"/>
          </w:tcPr>
          <w:p>
            <w:pPr>
              <w:spacing w:after="60" w:before="60"/>
            </w:pPr>
            <w:r>
              <w:rPr>
                <w:sz w:val="18"/>
              </w:rPr>
              <w:t>mean_speed</w:t>
            </w:r>
          </w:p>
        </w:tc>
        <w:tc>
          <w:tcPr>
            <w:tcW w:type="dxa" w:w="3849"/>
          </w:tcPr>
          <w:p>
            <w:pPr>
              <w:spacing w:after="60" w:before="60"/>
            </w:pPr>
            <w:r>
              <w:rPr>
                <w:sz w:val="18"/>
              </w:rPr>
              <w:t>20.19 [19.02, 22.87]</w:t>
            </w:r>
          </w:p>
        </w:tc>
        <w:tc>
          <w:tcPr>
            <w:tcW w:type="dxa" w:w="3855"/>
          </w:tcPr>
          <w:p>
            <w:pPr>
              <w:spacing w:after="60" w:before="60"/>
            </w:pPr>
            <w:r>
              <w:rPr>
                <w:sz w:val="18"/>
              </w:rPr>
              <w:t>22.60 [21.08, 24.74]</w:t>
            </w:r>
          </w:p>
        </w:tc>
      </w:tr>
      <w:tr>
        <w:trPr>
          <w:cantSplit/>
        </w:trPr>
        <w:tc>
          <w:tcPr>
            <w:tcW w:type="dxa" w:w="2268"/>
          </w:tcPr>
          <w:p>
            <w:pPr>
              <w:spacing w:after="60" w:before="60"/>
            </w:pPr>
            <w:r>
              <w:rPr>
                <w:sz w:val="18"/>
              </w:rPr>
              <w:t>mean_abs_turn</w:t>
            </w:r>
          </w:p>
        </w:tc>
        <w:tc>
          <w:tcPr>
            <w:tcW w:type="dxa" w:w="3849"/>
          </w:tcPr>
          <w:p>
            <w:pPr>
              <w:spacing w:after="60" w:before="60"/>
            </w:pPr>
            <w:r>
              <w:rPr>
                <w:sz w:val="18"/>
              </w:rPr>
              <w:t>82.79 [80.25, 85.54]</w:t>
            </w:r>
          </w:p>
        </w:tc>
        <w:tc>
          <w:tcPr>
            <w:tcW w:type="dxa" w:w="3855"/>
          </w:tcPr>
          <w:p>
            <w:pPr>
              <w:spacing w:after="60" w:before="60"/>
            </w:pPr>
            <w:r>
              <w:rPr>
                <w:sz w:val="18"/>
              </w:rPr>
              <w:t>77.53 [66.07, 84.62]</w:t>
            </w:r>
          </w:p>
        </w:tc>
      </w:tr>
      <w:tr>
        <w:trPr>
          <w:cantSplit/>
        </w:trPr>
        <w:tc>
          <w:tcPr>
            <w:tcW w:type="dxa" w:w="2268"/>
          </w:tcPr>
          <w:p>
            <w:pPr>
              <w:spacing w:after="60" w:before="60"/>
            </w:pPr>
            <w:r>
              <w:rPr>
                <w:sz w:val="18"/>
              </w:rPr>
              <w:t>turn_gt90</w:t>
            </w:r>
          </w:p>
        </w:tc>
        <w:tc>
          <w:tcPr>
            <w:tcW w:type="dxa" w:w="3849"/>
          </w:tcPr>
          <w:p>
            <w:pPr>
              <w:spacing w:after="60" w:before="60"/>
            </w:pPr>
            <w:r>
              <w:rPr>
                <w:sz w:val="18"/>
              </w:rPr>
              <w:t>0.433 [0.389, 0.457]</w:t>
            </w:r>
          </w:p>
        </w:tc>
        <w:tc>
          <w:tcPr>
            <w:tcW w:type="dxa" w:w="3855"/>
          </w:tcPr>
          <w:p>
            <w:pPr>
              <w:spacing w:after="60" w:before="60"/>
            </w:pPr>
            <w:r>
              <w:rPr>
                <w:sz w:val="18"/>
              </w:rPr>
              <w:t>0.384 [0.344, 0.433]</w:t>
            </w:r>
          </w:p>
        </w:tc>
      </w:tr>
      <w:tr>
        <w:trPr>
          <w:cantSplit/>
        </w:trPr>
        <w:tc>
          <w:tcPr>
            <w:tcW w:type="dxa" w:w="2268"/>
          </w:tcPr>
          <w:p>
            <w:pPr>
              <w:spacing w:after="60" w:before="60"/>
            </w:pPr>
            <w:r>
              <w:rPr>
                <w:sz w:val="18"/>
              </w:rPr>
              <w:t>turn_gt135</w:t>
            </w:r>
          </w:p>
        </w:tc>
        <w:tc>
          <w:tcPr>
            <w:tcW w:type="dxa" w:w="3849"/>
          </w:tcPr>
          <w:p>
            <w:pPr>
              <w:spacing w:after="60" w:before="60"/>
            </w:pPr>
            <w:r>
              <w:rPr>
                <w:sz w:val="18"/>
              </w:rPr>
              <w:t>0.228 [0.205, 0.265]</w:t>
            </w:r>
          </w:p>
        </w:tc>
        <w:tc>
          <w:tcPr>
            <w:tcW w:type="dxa" w:w="3855"/>
          </w:tcPr>
          <w:p>
            <w:pPr>
              <w:spacing w:after="60" w:before="60"/>
            </w:pPr>
            <w:r>
              <w:rPr>
                <w:sz w:val="18"/>
              </w:rPr>
              <w:t>0.189 [0.126, 0.237]</w:t>
            </w:r>
          </w:p>
        </w:tc>
      </w:tr>
      <w:tr>
        <w:trPr>
          <w:cantSplit/>
        </w:trPr>
        <w:tc>
          <w:tcPr>
            <w:tcW w:type="dxa" w:w="2268"/>
          </w:tcPr>
          <w:p>
            <w:pPr>
              <w:spacing w:after="60" w:before="60"/>
            </w:pPr>
            <w:r>
              <w:rPr>
                <w:sz w:val="18"/>
              </w:rPr>
              <w:t>height_med</w:t>
            </w:r>
          </w:p>
        </w:tc>
        <w:tc>
          <w:tcPr>
            <w:tcW w:type="dxa" w:w="3849"/>
          </w:tcPr>
          <w:p>
            <w:pPr>
              <w:spacing w:after="60" w:before="60"/>
            </w:pPr>
            <w:r>
              <w:rPr>
                <w:sz w:val="18"/>
              </w:rPr>
              <w:t>33.28 [26.68, 47.03]</w:t>
            </w:r>
          </w:p>
        </w:tc>
        <w:tc>
          <w:tcPr>
            <w:tcW w:type="dxa" w:w="3855"/>
          </w:tcPr>
          <w:p>
            <w:pPr>
              <w:spacing w:after="60" w:before="60"/>
            </w:pPr>
            <w:r>
              <w:rPr>
                <w:sz w:val="18"/>
              </w:rPr>
              <w:t>136.70 [79.90, 177.33]</w:t>
            </w:r>
          </w:p>
        </w:tc>
      </w:tr>
      <w:tr>
        <w:trPr>
          <w:cantSplit/>
        </w:trPr>
        <w:tc>
          <w:tcPr>
            <w:tcW w:type="dxa" w:w="2268"/>
          </w:tcPr>
          <w:p>
            <w:pPr>
              <w:spacing w:after="60" w:before="60"/>
            </w:pPr>
            <w:r>
              <w:rPr>
                <w:sz w:val="18"/>
              </w:rPr>
              <w:t>height_iqr</w:t>
            </w:r>
          </w:p>
        </w:tc>
        <w:tc>
          <w:tcPr>
            <w:tcW w:type="dxa" w:w="3849"/>
          </w:tcPr>
          <w:p>
            <w:pPr>
              <w:spacing w:after="60" w:before="60"/>
            </w:pPr>
            <w:r>
              <w:rPr>
                <w:sz w:val="18"/>
              </w:rPr>
              <w:t>45.08 [34.99, 66.67]</w:t>
            </w:r>
          </w:p>
        </w:tc>
        <w:tc>
          <w:tcPr>
            <w:tcW w:type="dxa" w:w="3855"/>
          </w:tcPr>
          <w:p>
            <w:pPr>
              <w:spacing w:after="60" w:before="60"/>
            </w:pPr>
            <w:r>
              <w:rPr>
                <w:sz w:val="18"/>
              </w:rPr>
              <w:t>129.40 [92.46, 159.81]</w:t>
            </w:r>
          </w:p>
        </w:tc>
      </w:tr>
      <w:tr>
        <w:trPr>
          <w:cantSplit/>
        </w:trPr>
        <w:tc>
          <w:tcPr>
            <w:tcW w:type="dxa" w:w="2268"/>
          </w:tcPr>
          <w:p>
            <w:pPr>
              <w:spacing w:after="60" w:before="60"/>
            </w:pPr>
            <w:r>
              <w:rPr>
                <w:sz w:val="18"/>
              </w:rPr>
              <w:t>rough</w:t>
            </w:r>
          </w:p>
        </w:tc>
        <w:tc>
          <w:tcPr>
            <w:tcW w:type="dxa" w:w="3849"/>
          </w:tcPr>
          <w:p>
            <w:pPr>
              <w:spacing w:after="60" w:before="60"/>
            </w:pPr>
            <w:r>
              <w:rPr>
                <w:sz w:val="18"/>
              </w:rPr>
              <w:t>50.19 [41.99, 55.41]</w:t>
            </w:r>
          </w:p>
        </w:tc>
        <w:tc>
          <w:tcPr>
            <w:tcW w:type="dxa" w:w="3855"/>
          </w:tcPr>
          <w:p>
            <w:pPr>
              <w:spacing w:after="60" w:before="60"/>
            </w:pPr>
            <w:r>
              <w:rPr>
                <w:sz w:val="18"/>
              </w:rPr>
              <w:t>62.98 [53.55, 69.92]</w:t>
            </w:r>
          </w:p>
        </w:tc>
      </w:tr>
      <w:tr>
        <w:trPr>
          <w:cantSplit/>
        </w:trPr>
        <w:tc>
          <w:tcPr>
            <w:tcW w:type="dxa" w:w="2268"/>
          </w:tcPr>
          <w:p>
            <w:pPr>
              <w:spacing w:after="60" w:before="60"/>
            </w:pPr>
            <w:r>
              <w:rPr>
                <w:sz w:val="18"/>
              </w:rPr>
              <w:t>tpi</w:t>
            </w:r>
          </w:p>
        </w:tc>
        <w:tc>
          <w:tcPr>
            <w:tcW w:type="dxa" w:w="3849"/>
          </w:tcPr>
          <w:p>
            <w:pPr>
              <w:spacing w:after="60" w:before="60"/>
            </w:pPr>
            <w:r>
              <w:rPr>
                <w:sz w:val="18"/>
              </w:rPr>
              <w:t>1.11 [-14.65, 15.35]</w:t>
            </w:r>
          </w:p>
        </w:tc>
        <w:tc>
          <w:tcPr>
            <w:tcW w:type="dxa" w:w="3855"/>
          </w:tcPr>
          <w:p>
            <w:pPr>
              <w:spacing w:after="60" w:before="60"/>
            </w:pPr>
            <w:r>
              <w:rPr>
                <w:sz w:val="18"/>
              </w:rPr>
              <w:t>-5.39 [-18.94, 5.25]</w:t>
            </w:r>
          </w:p>
        </w:tc>
      </w:tr>
      <w:tr>
        <w:trPr>
          <w:cantSplit/>
        </w:trPr>
        <w:tc>
          <w:tcPr>
            <w:tcW w:type="dxa" w:w="2268"/>
          </w:tcPr>
          <w:p>
            <w:pPr>
              <w:spacing w:after="60" w:before="60"/>
            </w:pPr>
            <w:r>
              <w:rPr>
                <w:sz w:val="18"/>
              </w:rPr>
              <w:t>wind</w:t>
            </w:r>
          </w:p>
        </w:tc>
        <w:tc>
          <w:tcPr>
            <w:tcW w:type="dxa" w:w="3849"/>
          </w:tcPr>
          <w:p>
            <w:pPr>
              <w:spacing w:after="60" w:before="60"/>
            </w:pPr>
            <w:r>
              <w:rPr>
                <w:sz w:val="18"/>
              </w:rPr>
              <w:t>-0.04 [-0.35, 0.06]</w:t>
            </w:r>
          </w:p>
        </w:tc>
        <w:tc>
          <w:tcPr>
            <w:tcW w:type="dxa" w:w="3855"/>
          </w:tcPr>
          <w:p>
            <w:pPr>
              <w:spacing w:after="60" w:before="60"/>
            </w:pPr>
            <w:r>
              <w:rPr>
                <w:sz w:val="18"/>
              </w:rPr>
              <w:t>-0.34 [-0.79, 0.16]</w:t>
            </w:r>
          </w:p>
        </w:tc>
      </w:tr>
    </w:tbl>
    <w:p>
      <w:pPr>
        <w:spacing w:after="20"/>
      </w:pPr>
    </w:p>
    <w:p>
      <w:r>
        <w:t>height_med 是每条记录中已有的汇总字段；此处再次求中位数，不等于将所有原始定位点合并后的高度中位数。同理，路径类字段没有按有效跟踪时间标准化，不能直接等同于活动强度或觅食投入。</w:t>
      </w:r>
    </w:p>
    <w:p>
      <w:r>
        <w:t>mean_speed 的记录均值在夏秋分别为 20.841 与 20.767，而记录中位数分别为 20.194 与 22.596。秋季存在 n=6、mean_speed=0.333 的记录，说明仅凭一种汇总方式容易掩盖分布特征；本次没有删除该记录。</w:t>
      </w:r>
    </w:p>
    <w:p>
      <w:r>
        <w:br w:type="page"/>
      </w:r>
    </w:p>
    <w:p>
      <w:pPr>
        <w:pStyle w:val="Heading1"/>
      </w:pPr>
      <w:r>
        <w:t>记录分布与汇总方式检查</w:t>
      </w:r>
    </w:p>
    <w:p>
      <w:r>
        <w:drawing>
          <wp:inline xmlns:a="http://schemas.openxmlformats.org/drawingml/2006/main" xmlns:pic="http://schemas.openxmlformats.org/drawingml/2006/picture">
            <wp:extent cx="6228000" cy="4428800"/>
            <wp:docPr id="1" name="Picture 1"/>
            <wp:cNvGraphicFramePr>
              <a:graphicFrameLocks noChangeAspect="1"/>
            </wp:cNvGraphicFramePr>
            <a:graphic>
              <a:graphicData uri="http://schemas.openxmlformats.org/drawingml/2006/picture">
                <pic:pic>
                  <pic:nvPicPr>
                    <pic:cNvPr id="0" name="figure_01_record_distributions.png"/>
                    <pic:cNvPicPr/>
                  </pic:nvPicPr>
                  <pic:blipFill>
                    <a:blip r:embed="rId10"/>
                    <a:stretch>
                      <a:fillRect/>
                    </a:stretch>
                  </pic:blipFill>
                  <pic:spPr>
                    <a:xfrm>
                      <a:off x="0" y="0"/>
                      <a:ext cx="6228000" cy="4428800"/>
                    </a:xfrm>
                    <a:prstGeom prst="rect"/>
                  </pic:spPr>
                </pic:pic>
              </a:graphicData>
            </a:graphic>
          </wp:inline>
        </w:drawing>
      </w:r>
    </w:p>
    <w:p>
      <w:r>
        <w:t>图 1  夏秋记录级分布。每个点代表 CSV 的一条记录，黑色横线为中位数、竖线为四分位区间。蓝色为夏季，橙色为秋季。记录间可能共享个体；本图未作独立样本显著性检验。</w:t>
      </w:r>
    </w:p>
    <w:p>
      <w:r>
        <w:t>秋季的 height_med、height_iqr 和 rough 字段中位数较高，tpi 和 straight 中位数较低。两季分布仍有重叠；尤其 tpi 的差异不能脱离可得地形背景解释为选择差异。</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835"/>
        <w:gridCol w:w="3515"/>
        <w:gridCol w:w="3623"/>
      </w:tblGrid>
      <w:tr>
        <w:trPr>
          <w:cantSplit/>
          <w:tblHeader/>
        </w:trPr>
        <w:tc>
          <w:tcPr>
            <w:tcW w:type="dxa" w:w="2835"/>
            <w:shd w:fill="E7EEF4"/>
          </w:tcPr>
          <w:p>
            <w:pPr>
              <w:spacing w:after="60" w:before="60"/>
            </w:pPr>
            <w:r>
              <w:rPr>
                <w:b/>
                <w:sz w:val="18"/>
              </w:rPr>
              <w:t>字段</w:t>
            </w:r>
          </w:p>
        </w:tc>
        <w:tc>
          <w:tcPr>
            <w:tcW w:type="dxa" w:w="3515"/>
            <w:shd w:fill="E7EEF4"/>
          </w:tcPr>
          <w:p>
            <w:pPr>
              <w:spacing w:after="60" w:before="60"/>
            </w:pPr>
            <w:r>
              <w:rPr>
                <w:b/>
                <w:sz w:val="18"/>
              </w:rPr>
              <w:t>记录等权 秋减夏</w:t>
            </w:r>
          </w:p>
        </w:tc>
        <w:tc>
          <w:tcPr>
            <w:tcW w:type="dxa" w:w="3623"/>
            <w:shd w:fill="E7EEF4"/>
          </w:tcPr>
          <w:p>
            <w:pPr>
              <w:spacing w:after="60" w:before="60"/>
            </w:pPr>
            <w:r>
              <w:rPr>
                <w:b/>
                <w:sz w:val="18"/>
              </w:rPr>
              <w:t>标签等权 秋减夏</w:t>
            </w:r>
          </w:p>
        </w:tc>
      </w:tr>
      <w:tr>
        <w:trPr>
          <w:cantSplit/>
        </w:trPr>
        <w:tc>
          <w:tcPr>
            <w:tcW w:type="dxa" w:w="2835"/>
          </w:tcPr>
          <w:p>
            <w:pPr>
              <w:spacing w:after="60" w:before="60"/>
            </w:pPr>
            <w:r>
              <w:rPr>
                <w:sz w:val="18"/>
              </w:rPr>
              <w:t>height_med</w:t>
            </w:r>
          </w:p>
        </w:tc>
        <w:tc>
          <w:tcPr>
            <w:tcW w:type="dxa" w:w="3515"/>
          </w:tcPr>
          <w:p>
            <w:pPr>
              <w:spacing w:after="60" w:before="60"/>
            </w:pPr>
            <w:r>
              <w:rPr>
                <w:sz w:val="18"/>
              </w:rPr>
              <w:t>103.420</w:t>
            </w:r>
          </w:p>
        </w:tc>
        <w:tc>
          <w:tcPr>
            <w:tcW w:type="dxa" w:w="3623"/>
          </w:tcPr>
          <w:p>
            <w:pPr>
              <w:spacing w:after="60" w:before="60"/>
            </w:pPr>
            <w:r>
              <w:rPr>
                <w:sz w:val="18"/>
              </w:rPr>
              <w:t>94.816</w:t>
            </w:r>
          </w:p>
        </w:tc>
      </w:tr>
      <w:tr>
        <w:trPr>
          <w:cantSplit/>
        </w:trPr>
        <w:tc>
          <w:tcPr>
            <w:tcW w:type="dxa" w:w="2835"/>
          </w:tcPr>
          <w:p>
            <w:pPr>
              <w:spacing w:after="60" w:before="60"/>
            </w:pPr>
            <w:r>
              <w:rPr>
                <w:sz w:val="18"/>
              </w:rPr>
              <w:t>rough</w:t>
            </w:r>
          </w:p>
        </w:tc>
        <w:tc>
          <w:tcPr>
            <w:tcW w:type="dxa" w:w="3515"/>
          </w:tcPr>
          <w:p>
            <w:pPr>
              <w:spacing w:after="60" w:before="60"/>
            </w:pPr>
            <w:r>
              <w:rPr>
                <w:sz w:val="18"/>
              </w:rPr>
              <w:t>12.793</w:t>
            </w:r>
          </w:p>
        </w:tc>
        <w:tc>
          <w:tcPr>
            <w:tcW w:type="dxa" w:w="3623"/>
          </w:tcPr>
          <w:p>
            <w:pPr>
              <w:spacing w:after="60" w:before="60"/>
            </w:pPr>
            <w:r>
              <w:rPr>
                <w:sz w:val="18"/>
              </w:rPr>
              <w:t>12.408</w:t>
            </w:r>
          </w:p>
        </w:tc>
      </w:tr>
      <w:tr>
        <w:trPr>
          <w:cantSplit/>
        </w:trPr>
        <w:tc>
          <w:tcPr>
            <w:tcW w:type="dxa" w:w="2835"/>
          </w:tcPr>
          <w:p>
            <w:pPr>
              <w:spacing w:after="60" w:before="60"/>
            </w:pPr>
            <w:r>
              <w:rPr>
                <w:sz w:val="18"/>
              </w:rPr>
              <w:t>tpi</w:t>
            </w:r>
          </w:p>
        </w:tc>
        <w:tc>
          <w:tcPr>
            <w:tcW w:type="dxa" w:w="3515"/>
          </w:tcPr>
          <w:p>
            <w:pPr>
              <w:spacing w:after="60" w:before="60"/>
            </w:pPr>
            <w:r>
              <w:rPr>
                <w:sz w:val="18"/>
              </w:rPr>
              <w:t>-6.500</w:t>
            </w:r>
          </w:p>
        </w:tc>
        <w:tc>
          <w:tcPr>
            <w:tcW w:type="dxa" w:w="3623"/>
          </w:tcPr>
          <w:p>
            <w:pPr>
              <w:spacing w:after="60" w:before="60"/>
            </w:pPr>
            <w:r>
              <w:rPr>
                <w:sz w:val="18"/>
              </w:rPr>
              <w:t>-5.530</w:t>
            </w:r>
          </w:p>
        </w:tc>
      </w:tr>
      <w:tr>
        <w:trPr>
          <w:cantSplit/>
        </w:trPr>
        <w:tc>
          <w:tcPr>
            <w:tcW w:type="dxa" w:w="2835"/>
          </w:tcPr>
          <w:p>
            <w:pPr>
              <w:spacing w:after="60" w:before="60"/>
            </w:pPr>
            <w:r>
              <w:rPr>
                <w:sz w:val="18"/>
              </w:rPr>
              <w:t>straight</w:t>
            </w:r>
          </w:p>
        </w:tc>
        <w:tc>
          <w:tcPr>
            <w:tcW w:type="dxa" w:w="3515"/>
          </w:tcPr>
          <w:p>
            <w:pPr>
              <w:spacing w:after="60" w:before="60"/>
            </w:pPr>
            <w:r>
              <w:rPr>
                <w:sz w:val="18"/>
              </w:rPr>
              <w:t>-0.099</w:t>
            </w:r>
          </w:p>
        </w:tc>
        <w:tc>
          <w:tcPr>
            <w:tcW w:type="dxa" w:w="3623"/>
          </w:tcPr>
          <w:p>
            <w:pPr>
              <w:spacing w:after="60" w:before="60"/>
            </w:pPr>
            <w:r>
              <w:rPr>
                <w:sz w:val="18"/>
              </w:rPr>
              <w:t>-0.017</w:t>
            </w:r>
          </w:p>
        </w:tc>
      </w:tr>
    </w:tbl>
    <w:p>
      <w:pPr>
        <w:spacing w:after="20"/>
      </w:pPr>
    </w:p>
    <w:p>
      <w:r>
        <w:t>标签等权先求每个原始设备标签内的记录中位数，再求标签间中位数。straight 的差值由约 −0.099 缩小至 −0.017，表明效应幅度受汇总权重影响。该检查不能替代个体编号确认、个体层级模型或独立重复。</w:t>
      </w:r>
    </w:p>
    <w:p>
      <w:r>
        <w:br w:type="page"/>
      </w:r>
    </w:p>
    <w:p>
      <w:pPr>
        <w:pStyle w:val="Heading1"/>
      </w:pPr>
      <w:r>
        <w:t>交接模型结果与样本核对</w:t>
      </w:r>
    </w:p>
    <w:p>
      <w:r>
        <w:drawing>
          <wp:inline xmlns:a="http://schemas.openxmlformats.org/drawingml/2006/main" xmlns:pic="http://schemas.openxmlformats.org/drawingml/2006/picture">
            <wp:extent cx="6228000" cy="3736800"/>
            <wp:docPr id="2" name="Picture 2"/>
            <wp:cNvGraphicFramePr>
              <a:graphicFrameLocks noChangeAspect="1"/>
            </wp:cNvGraphicFramePr>
            <a:graphic>
              <a:graphicData uri="http://schemas.openxmlformats.org/drawingml/2006/picture">
                <pic:pic>
                  <pic:nvPicPr>
                    <pic:cNvPr id="0" name="figure_02_handoff_selected_estimates.png"/>
                    <pic:cNvPicPr/>
                  </pic:nvPicPr>
                  <pic:blipFill>
                    <a:blip r:embed="rId11"/>
                    <a:stretch>
                      <a:fillRect/>
                    </a:stretch>
                  </pic:blipFill>
                  <pic:spPr>
                    <a:xfrm>
                      <a:off x="0" y="0"/>
                      <a:ext cx="6228000" cy="3736800"/>
                    </a:xfrm>
                    <a:prstGeom prst="rect"/>
                  </pic:spPr>
                </pic:pic>
              </a:graphicData>
            </a:graphic>
          </wp:inline>
        </w:drawing>
      </w:r>
    </w:p>
    <w:p>
      <w:r>
        <w:t>图 2  最新交接摘要中已报告信号的转录图。上半部为状态内地形关联，下半部为秋减夏的直接系数差。横线为交接记录中的未校正 95% 个体整群 bootstrap 区间。摘要仅列出部分信号，本图不是完整系数图，也不代表其余关联为零。</w:t>
      </w:r>
    </w:p>
    <w:p>
      <w:r>
        <w:t>上升态的地面高程季节差为 0.540［0.089，1.643］，TPI 季节差为 −0.322［−0.514，−0.057］；下降态地面高程季节差为 −1.290［−3.217，−0.340］。它们为状态内差异提供探索性线索，尚不能替代整体地形利用的季节比较。</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835"/>
        <w:gridCol w:w="3515"/>
        <w:gridCol w:w="3623"/>
      </w:tblGrid>
      <w:tr>
        <w:trPr>
          <w:cantSplit/>
          <w:tblHeader/>
        </w:trPr>
        <w:tc>
          <w:tcPr>
            <w:tcW w:type="dxa" w:w="2835"/>
            <w:shd w:fill="E7EEF4"/>
          </w:tcPr>
          <w:p>
            <w:pPr>
              <w:spacing w:after="60" w:before="60"/>
            </w:pPr>
            <w:r>
              <w:rPr>
                <w:b/>
                <w:sz w:val="18"/>
              </w:rPr>
              <w:t>状态</w:t>
            </w:r>
          </w:p>
        </w:tc>
        <w:tc>
          <w:tcPr>
            <w:tcW w:type="dxa" w:w="3515"/>
            <w:shd w:fill="E7EEF4"/>
          </w:tcPr>
          <w:p>
            <w:pPr>
              <w:spacing w:after="60" w:before="60"/>
            </w:pPr>
            <w:r>
              <w:rPr>
                <w:b/>
                <w:sz w:val="18"/>
              </w:rPr>
              <w:t>夏季 点数／个体数</w:t>
            </w:r>
          </w:p>
        </w:tc>
        <w:tc>
          <w:tcPr>
            <w:tcW w:type="dxa" w:w="3623"/>
            <w:shd w:fill="E7EEF4"/>
          </w:tcPr>
          <w:p>
            <w:pPr>
              <w:spacing w:after="60" w:before="60"/>
            </w:pPr>
            <w:r>
              <w:rPr>
                <w:b/>
                <w:sz w:val="18"/>
              </w:rPr>
              <w:t>秋季 点数／个体数</w:t>
            </w:r>
          </w:p>
        </w:tc>
      </w:tr>
      <w:tr>
        <w:trPr>
          <w:cantSplit/>
        </w:trPr>
        <w:tc>
          <w:tcPr>
            <w:tcW w:type="dxa" w:w="2835"/>
          </w:tcPr>
          <w:p>
            <w:pPr>
              <w:spacing w:after="60" w:before="60"/>
            </w:pPr>
            <w:r>
              <w:rPr>
                <w:sz w:val="18"/>
              </w:rPr>
              <w:t>上升</w:t>
            </w:r>
          </w:p>
        </w:tc>
        <w:tc>
          <w:tcPr>
            <w:tcW w:type="dxa" w:w="3515"/>
          </w:tcPr>
          <w:p>
            <w:pPr>
              <w:spacing w:after="60" w:before="60"/>
            </w:pPr>
            <w:r>
              <w:rPr>
                <w:sz w:val="18"/>
              </w:rPr>
              <w:t>214 / 6</w:t>
            </w:r>
          </w:p>
        </w:tc>
        <w:tc>
          <w:tcPr>
            <w:tcW w:type="dxa" w:w="3623"/>
          </w:tcPr>
          <w:p>
            <w:pPr>
              <w:spacing w:after="60" w:before="60"/>
            </w:pPr>
            <w:r>
              <w:rPr>
                <w:sz w:val="18"/>
              </w:rPr>
              <w:t>440 / 6</w:t>
            </w:r>
          </w:p>
        </w:tc>
      </w:tr>
      <w:tr>
        <w:trPr>
          <w:cantSplit/>
        </w:trPr>
        <w:tc>
          <w:tcPr>
            <w:tcW w:type="dxa" w:w="2835"/>
          </w:tcPr>
          <w:p>
            <w:pPr>
              <w:spacing w:after="60" w:before="60"/>
            </w:pPr>
            <w:r>
              <w:rPr>
                <w:sz w:val="18"/>
              </w:rPr>
              <w:t>近水平</w:t>
            </w:r>
          </w:p>
        </w:tc>
        <w:tc>
          <w:tcPr>
            <w:tcW w:type="dxa" w:w="3515"/>
          </w:tcPr>
          <w:p>
            <w:pPr>
              <w:spacing w:after="60" w:before="60"/>
            </w:pPr>
            <w:r>
              <w:rPr>
                <w:sz w:val="18"/>
              </w:rPr>
              <w:t>746 / 6</w:t>
            </w:r>
          </w:p>
        </w:tc>
        <w:tc>
          <w:tcPr>
            <w:tcW w:type="dxa" w:w="3623"/>
          </w:tcPr>
          <w:p>
            <w:pPr>
              <w:spacing w:after="60" w:before="60"/>
            </w:pPr>
            <w:r>
              <w:rPr>
                <w:sz w:val="18"/>
              </w:rPr>
              <w:t>637 / 7</w:t>
            </w:r>
          </w:p>
        </w:tc>
      </w:tr>
      <w:tr>
        <w:trPr>
          <w:cantSplit/>
        </w:trPr>
        <w:tc>
          <w:tcPr>
            <w:tcW w:type="dxa" w:w="2835"/>
          </w:tcPr>
          <w:p>
            <w:pPr>
              <w:spacing w:after="60" w:before="60"/>
            </w:pPr>
            <w:r>
              <w:rPr>
                <w:sz w:val="18"/>
              </w:rPr>
              <w:t>下降</w:t>
            </w:r>
          </w:p>
        </w:tc>
        <w:tc>
          <w:tcPr>
            <w:tcW w:type="dxa" w:w="3515"/>
          </w:tcPr>
          <w:p>
            <w:pPr>
              <w:spacing w:after="60" w:before="60"/>
            </w:pPr>
            <w:r>
              <w:rPr>
                <w:sz w:val="18"/>
              </w:rPr>
              <w:t>72 / 3</w:t>
            </w:r>
          </w:p>
        </w:tc>
        <w:tc>
          <w:tcPr>
            <w:tcW w:type="dxa" w:w="3623"/>
          </w:tcPr>
          <w:p>
            <w:pPr>
              <w:spacing w:after="60" w:before="60"/>
            </w:pPr>
            <w:r>
              <w:rPr>
                <w:sz w:val="18"/>
              </w:rPr>
              <w:t>66 / 4</w:t>
            </w:r>
          </w:p>
        </w:tc>
      </w:tr>
    </w:tbl>
    <w:p>
      <w:pPr>
        <w:spacing w:after="20"/>
      </w:pPr>
    </w:p>
    <w:p>
      <w:r>
        <w:t>交接状态点数合计为夏季 1032、秋季 1143，与汇总 CSV 的 n 合计分别相差 15 和 87。缺少逐点标识和筛选日志，不能将差额直接解释成剔除率，也不能将状态点数比例当作状态持续时间比例。下降态个体数少，且仅 NENU022 跨季重复，必须保留探索性解释。</w:t>
      </w:r>
    </w:p>
    <w:p>
      <w:r>
        <w:br w:type="page"/>
      </w:r>
    </w:p>
    <w:p>
      <w:pPr>
        <w:pStyle w:val="Heading1"/>
      </w:pPr>
      <w:r>
        <w:t>论文正文的证据组织与可用段落</w:t>
      </w:r>
    </w:p>
    <w:p>
      <w:pPr>
        <w:pStyle w:val="Heading1"/>
      </w:pPr>
      <w:r>
        <w:t>引言的研究问题段落</w:t>
      </w:r>
    </w:p>
    <w:p>
      <w:r>
        <w:t>已有追踪研究表明，蝙蝠的垂直飞行与景观地形存在联系［1］；地形与夜间上升气流也已成为解释蝙蝠高空飞行的重要研究方向［2］。这些认识提示，地形可以参与蝙蝠的三维空间利用。然而，要理解这种关系的生态情境，还需要比较同一物种在不同季节中地形使用关联的方向与强度，并进一步定位季节差异所涉及的地形属性与飞行状态。</w:t>
      </w:r>
    </w:p>
    <w:p>
      <w:r>
        <w:t>本研究以南蝠夏季和秋季的追踪记录为对象，提出两个递进问题：两季是否表现出相对于可利用背景的地形使用关联，以及这些关联是否存在季节差异；若存在差异，它们体现在哪些地形属性、飞行状态组成或状态内关联中。季节性食物变化为上述比较提供生态动机，其具体内容与本物种适用范围需由对应文献界定。</w:t>
      </w:r>
    </w:p>
    <w:p>
      <w:pPr>
        <w:pStyle w:val="Heading1"/>
      </w:pPr>
      <w:r>
        <w:t>已执行方法段落</w:t>
      </w:r>
    </w:p>
    <w:p>
      <w:r>
        <w:t>描述性分析限定于 2021 年夏季和秋季。保留汇总表原始记录及设备标签，不合并未经确认的别名。对数值字段检查缺失、有限性、比例范围及已知代数关系。各季节按记录等权计算中位数和四分位区间，并用原始设备标签内中位数的等权汇总检查权重敏感性。由于标签与个体关系未确定，且汇总表不含使用点—可得点配对信息，本阶段未开展地形选择推断或季节显著性检验。</w:t>
      </w:r>
    </w:p>
    <w:p>
      <w:pPr>
        <w:pStyle w:val="Heading1"/>
      </w:pPr>
      <w:r>
        <w:t>描述性结果段落</w:t>
      </w:r>
    </w:p>
    <w:p>
      <w:r>
        <w:t>夏季与秋季分别包含 13 和 14 条汇总记录。记录级 height_med 中位数分别为 33.28 和 136.70，height_iqr 为 45.08 和 129.40，rough 为 50.19 和 62.98；tpi 分别为 1.11 和 −5.39。上述字段的分布差别提示需在逐点分析中进一步检查高度相关指标及地形背景。各字段的生态解释仍取决于原始定义和测量单位，当前结果不构成相对选择强度的估计。</w:t>
      </w:r>
    </w:p>
    <w:p>
      <w:pPr>
        <w:pStyle w:val="Heading1"/>
      </w:pPr>
      <w:r>
        <w:t>讨论中可成立的判断</w:t>
      </w:r>
    </w:p>
    <w:p>
      <w:r>
        <w:t>地形利用的季节差异可能同时来自活动范围内可遇到的地形变化、飞行状态的时间分配变化，以及相同状态内的地形关联变化。三者需要分别检验。食物资源季节变化可以提供解释方向，但本项目没有直接食物数据，不能识别食物效应，也不能将季节系数解释为食物变化的因果作用。风场、个体组成和跟踪覆盖同样可能影响观察到的差别。</w:t>
      </w:r>
    </w:p>
    <w:p>
      <w:r>
        <w:t>这些段落用于继续发展论文。整体选择模型结果、完整状态结果、正式摘要与结论须在原始数据复核后补写，不能由当前描述统计替代。</w:t>
      </w:r>
    </w:p>
    <w:p>
      <w:r>
        <w:br w:type="page"/>
      </w:r>
    </w:p>
    <w:p>
      <w:pPr>
        <w:pStyle w:val="Heading1"/>
      </w:pPr>
      <w:r>
        <w:t>完成主分析所需输入与执行顺序</w:t>
      </w:r>
    </w:p>
    <w:p>
      <w:r>
        <w:t>首先恢复最新主脚本及其输入路径，保持原有连续段标识。逐点资料应至少能对应季节、确认后的个体编号、时间戳及其时区、经纬度及坐标系、高度及基准、原始连续段；另需定位质量和删点规则。若已有匹配表，还应提供使用点标识、匹配组标识、使用／可得标记及完整地形字段。</w:t>
      </w:r>
    </w:p>
    <w:p>
      <w:r>
        <w:t>优先接收最新主脚本和 outputs/vertical_state_terrain_primary_20261014 结果目录。由脚本确定输入依赖后，再补齐轨迹、个体映射、地形栅格或已提取的配对表，可减少无关历史文件传输。保留文件夹相对结构，并提供单位、TPI 邻域、粗糙度公式、标准化参数及 95% kernel UD 设定。</w:t>
      </w:r>
    </w:p>
    <w:p>
      <w:pPr>
        <w:pStyle w:val="Heading1"/>
      </w:pPr>
      <w:r>
        <w:t>恢复后按此顺序实施</w:t>
      </w:r>
    </w:p>
    <w:p>
      <w:r>
        <w:t>1 复现最新状态分析，核对逐点去向、各状态样本量、完整系数表、bootstrap 成功次数与失败原因。</w:t>
      </w:r>
    </w:p>
    <w:p>
      <w:r>
        <w:t>2 按整体研究问题建立一致的样本纳入标准，核查两季可得地形范围和共同支持；在同一尺度上估计季节特异地形关联及直接季节差异。整体样本不自动受限于高置信度状态点。</w:t>
      </w:r>
    </w:p>
    <w:p>
      <w:r>
        <w:t>3 区分时间加权的状态组成与状态内关联。跨季重复个体在重采样时保持联合身份；检查少数个体影响、可得背景定义、状态阈值和多重比较对结论的影响。具体模型实现由原脚本和数据结构决定。</w:t>
      </w:r>
    </w:p>
    <w:p>
      <w:r>
        <w:t>4 以完整结果安排主图和正文：整体季节比较为主结果，地形属性及状态分析定位差异；食物文献进入引言和讨论。若整体差异不明确，如实报告估计精度与证据范围。</w:t>
      </w:r>
    </w:p>
    <w:p>
      <w:pPr>
        <w:pStyle w:val="Heading1"/>
      </w:pPr>
      <w:r>
        <w:t>来源与复现</w:t>
      </w:r>
    </w:p>
    <w:p>
      <w:r>
        <w:t>汇总数据为 tmp_night_metrics.csv；已有模型数值来源于 CODEX_HANDOFF_20261014.md。复现包提供分析脚本、计算表、图件及输入 SHA256，不包含原始轨迹或上传原件。审计与描述统计已实际执行；HMM、条件逻辑模型和个体 bootstrap 尚未在本环境重新执行。</w:t>
      </w:r>
    </w:p>
    <w:p>
      <w:r>
        <w:t>［1］Roeleke M, Bumrungsri S, Voigt CC. 2018. Bats probe the aerosphere during landscape-guided altitudinal flights. Mammal Review 48:7–11. DOI: 10.1111/mam.12109。依据上传的原文提取文本。</w:t>
      </w:r>
    </w:p>
    <w:p>
      <w:r>
        <w:t>［2］O’Mara MT et al. 2021. Bats use topography and nocturnal updrafts to fly high and fast. Current Biology。当前已读上传的补充材料；正文中的收益论证仍需核对。食物季节变化的具体文献尚待接收，未补造引用。</w:t>
      </w:r>
    </w:p>
    <w:sectPr w:rsidR="00FC693F" w:rsidRPr="0006063C" w:rsidSect="00034616">
      <w:footerReference w:type="default" r:id="rId9"/>
      <w:pgSz w:w="12240" w:h="15840"/>
      <w:pgMar w:top="1020" w:right="1134" w:bottom="1020" w:left="1134"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120"/>
    </w:pPr>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Noto Sans CJK SC" w:hAnsi="Noto Sans CJK SC" w:eastAsia="Noto Sans CJK SC"/>
    </w:rPr>
  </w:style>
  <w:style w:type="character" w:customStyle="1" w:styleId="HeaderChar">
    <w:name w:val="Header Char"/>
    <w:basedOn w:val="DefaultParagraphFont"/>
    <w:link w:val="Header"/>
    <w:uiPriority w:val="99"/>
    <w:rsid w:val="00E618BF"/>
    <w:rPr>
      <w:rFonts w:ascii="Noto Sans CJK SC" w:hAnsi="Noto Sans CJK SC" w:eastAsia="Noto Sans CJK SC"/>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Noto Sans CJK SC" w:hAnsi="Noto Sans CJK SC" w:eastAsia="Noto Sans CJK SC"/>
    </w:rPr>
  </w:style>
  <w:style w:type="character" w:customStyle="1" w:styleId="FooterChar">
    <w:name w:val="Footer Char"/>
    <w:basedOn w:val="DefaultParagraphFont"/>
    <w:link w:val="Footer"/>
    <w:uiPriority w:val="99"/>
    <w:rsid w:val="00E618BF"/>
    <w:rPr>
      <w:rFonts w:ascii="Noto Sans CJK SC" w:hAnsi="Noto Sans CJK SC" w:eastAsia="Noto Sans CJK SC"/>
    </w:rPr>
  </w:style>
  <w:style w:type="paragraph" w:styleId="Heading1">
    <w:name w:val="heading 1"/>
    <w:basedOn w:val="Normal"/>
    <w:next w:val="Normal"/>
    <w:link w:val="Heading1Char"/>
    <w:uiPriority w:val="9"/>
    <w:qFormat/>
    <w:rsid w:val="00FC693F"/>
    <w:pPr>
      <w:keepNext/>
      <w:keepLines/>
      <w:spacing w:before="180" w:after="120"/>
      <w:outlineLvl w:val="0"/>
    </w:pPr>
    <w:rPr>
      <w:rFonts w:asciiTheme="majorHAnsi" w:eastAsiaTheme="majorEastAsia" w:hAnsiTheme="majorHAnsi" w:cstheme="majorBidi" w:ascii="Noto Sans CJK SC" w:hAnsi="Noto Sans CJK SC" w:eastAsia="Noto Sans CJK SC"/>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Noto Sans CJK SC" w:hAnsi="Noto Sans CJK SC" w:eastAsia="Noto Sans CJK S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Noto Sans CJK SC" w:hAnsi="Noto Sans CJK SC" w:eastAsia="Noto Sans CJK SC"/>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Noto Sans CJK SC" w:hAnsi="Noto Sans CJK SC" w:eastAsia="Noto Sans CJK SC"/>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Noto Sans CJK SC" w:hAnsi="Noto Sans CJK SC" w:eastAsia="Noto Sans CJK SC"/>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Noto Sans CJK SC" w:hAnsi="Noto Sans CJK SC" w:eastAsia="Noto Sans CJK SC"/>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Noto Sans CJK SC" w:hAnsi="Noto Sans CJK SC" w:eastAsia="Noto Sans CJK SC"/>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Noto Sans CJK SC" w:hAnsi="Noto Sans CJK SC" w:eastAsia="Noto Sans CJK SC"/>
      <w:i/>
      <w:iCs/>
      <w:color w:val="404040" w:themeColor="text1" w:themeTint="BF"/>
      <w:sz w:val="20"/>
      <w:szCs w:val="20"/>
    </w:rPr>
  </w:style>
  <w:style w:type="character" w:default="1" w:styleId="DefaultParagraphFont">
    <w:name w:val="Default Paragraph Font"/>
    <w:uiPriority w:val="1"/>
    <w:semiHidden/>
    <w:unhideWhenUsed/>
    <w:rPr>
      <w:rFonts w:ascii="Noto Sans CJK SC" w:hAnsi="Noto Sans CJK SC" w:eastAsia="Noto Sans CJK SC"/>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Noto Sans CJK SC" w:hAnsi="Noto Sans CJK SC" w:eastAsia="Noto Sans CJK SC"/>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Noto Sans CJK SC" w:hAnsi="Noto Sans CJK SC" w:eastAsia="Noto Sans CJK SC"/>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Noto Sans CJK SC" w:hAnsi="Noto Sans CJK SC" w:eastAsia="Noto Sans CJK SC"/>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Noto Sans CJK SC" w:hAnsi="Noto Sans CJK SC" w:eastAsia="Noto Sans CJK SC"/>
      <w:b/>
      <w:bCs/>
      <w:color w:val="4F81BD" w:themeColor="accent1"/>
    </w:rPr>
  </w:style>
  <w:style w:type="paragraph" w:styleId="Title">
    <w:name w:val="Title"/>
    <w:basedOn w:val="Normal"/>
    <w:next w:val="Normal"/>
    <w:link w:val="TitleChar"/>
    <w:uiPriority w:val="10"/>
    <w:qFormat/>
    <w:rsid w:val="00FC693F"/>
    <w:pPr>
      <w:keepNext/>
      <w:spacing w:after="120" w:line="240" w:lineRule="auto" w:before="180"/>
      <w:contextualSpacing/>
    </w:pPr>
    <w:rPr>
      <w:rFonts w:asciiTheme="majorHAnsi" w:eastAsiaTheme="majorEastAsia" w:hAnsiTheme="majorHAnsi" w:cstheme="majorBidi" w:ascii="Noto Sans CJK SC" w:hAnsi="Noto Sans CJK SC" w:eastAsia="Noto Sans CJK SC"/>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Noto Sans CJK SC" w:hAnsi="Noto Sans CJK SC" w:eastAsia="Noto Sans CJK SC"/>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SC" w:hAnsi="Noto Sans CJK SC" w:eastAsia="Noto Sans CJK SC"/>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Noto Sans CJK SC" w:hAnsi="Noto Sans CJK SC" w:eastAsia="Noto Sans CJK SC"/>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Noto Sans CJK SC" w:hAnsi="Noto Sans CJK SC" w:eastAsia="Noto Sans CJK SC"/>
    </w:rPr>
  </w:style>
  <w:style w:type="paragraph" w:styleId="BodyText">
    <w:name w:val="Body Text"/>
    <w:basedOn w:val="Normal"/>
    <w:link w:val="BodyTextChar"/>
    <w:uiPriority w:val="99"/>
    <w:unhideWhenUsed/>
    <w:rsid w:val="00AA1D8D"/>
    <w:pPr>
      <w:spacing w:after="120"/>
    </w:pPr>
    <w:rPr>
      <w:rFonts w:ascii="Noto Sans CJK SC" w:hAnsi="Noto Sans CJK SC" w:eastAsia="Noto Sans CJK SC"/>
    </w:rPr>
  </w:style>
  <w:style w:type="character" w:customStyle="1" w:styleId="BodyTextChar">
    <w:name w:val="Body Text Char"/>
    <w:basedOn w:val="DefaultParagraphFont"/>
    <w:link w:val="BodyText"/>
    <w:uiPriority w:val="99"/>
    <w:rsid w:val="00AA1D8D"/>
    <w:rPr>
      <w:rFonts w:ascii="Noto Sans CJK SC" w:hAnsi="Noto Sans CJK SC" w:eastAsia="Noto Sans CJK SC"/>
    </w:rPr>
  </w:style>
  <w:style w:type="paragraph" w:styleId="BodyText2">
    <w:name w:val="Body Text 2"/>
    <w:basedOn w:val="Normal"/>
    <w:link w:val="BodyText2Char"/>
    <w:uiPriority w:val="99"/>
    <w:unhideWhenUsed/>
    <w:rsid w:val="00AA1D8D"/>
    <w:pPr>
      <w:spacing w:after="120" w:line="480" w:lineRule="auto"/>
    </w:pPr>
    <w:rPr>
      <w:rFonts w:ascii="Noto Sans CJK SC" w:hAnsi="Noto Sans CJK SC" w:eastAsia="Noto Sans CJK SC"/>
    </w:rPr>
  </w:style>
  <w:style w:type="character" w:customStyle="1" w:styleId="BodyText2Char">
    <w:name w:val="Body Text 2 Char"/>
    <w:basedOn w:val="DefaultParagraphFont"/>
    <w:link w:val="BodyText2"/>
    <w:uiPriority w:val="99"/>
    <w:rsid w:val="00AA1D8D"/>
    <w:rPr>
      <w:rFonts w:ascii="Noto Sans CJK SC" w:hAnsi="Noto Sans CJK SC" w:eastAsia="Noto Sans CJK SC"/>
    </w:rPr>
  </w:style>
  <w:style w:type="paragraph" w:styleId="BodyText3">
    <w:name w:val="Body Text 3"/>
    <w:basedOn w:val="Normal"/>
    <w:link w:val="BodyText3Char"/>
    <w:uiPriority w:val="99"/>
    <w:unhideWhenUsed/>
    <w:rsid w:val="00AA1D8D"/>
    <w:pPr>
      <w:spacing w:after="120"/>
    </w:pPr>
    <w:rPr>
      <w:rFonts w:ascii="Noto Sans CJK SC" w:hAnsi="Noto Sans CJK SC" w:eastAsia="Noto Sans CJK SC"/>
      <w:sz w:val="16"/>
      <w:szCs w:val="16"/>
    </w:rPr>
  </w:style>
  <w:style w:type="character" w:customStyle="1" w:styleId="BodyText3Char">
    <w:name w:val="Body Text 3 Char"/>
    <w:basedOn w:val="DefaultParagraphFont"/>
    <w:link w:val="BodyText3"/>
    <w:uiPriority w:val="99"/>
    <w:rsid w:val="00AA1D8D"/>
    <w:rPr>
      <w:rFonts w:ascii="Noto Sans CJK SC" w:hAnsi="Noto Sans CJK SC" w:eastAsia="Noto Sans CJK SC"/>
      <w:sz w:val="16"/>
      <w:szCs w:val="16"/>
    </w:rPr>
  </w:style>
  <w:style w:type="paragraph" w:styleId="List">
    <w:name w:val="List"/>
    <w:basedOn w:val="Normal"/>
    <w:uiPriority w:val="99"/>
    <w:unhideWhenUsed/>
    <w:rsid w:val="00AA1D8D"/>
    <w:pPr>
      <w:ind w:left="360" w:hanging="360"/>
      <w:contextualSpacing/>
    </w:pPr>
    <w:rPr>
      <w:rFonts w:ascii="Noto Sans CJK SC" w:hAnsi="Noto Sans CJK SC" w:eastAsia="Noto Sans CJK SC"/>
    </w:rPr>
  </w:style>
  <w:style w:type="paragraph" w:styleId="List2">
    <w:name w:val="List 2"/>
    <w:basedOn w:val="Normal"/>
    <w:uiPriority w:val="99"/>
    <w:unhideWhenUsed/>
    <w:rsid w:val="00326F90"/>
    <w:pPr>
      <w:ind w:left="720" w:hanging="360"/>
      <w:contextualSpacing/>
    </w:pPr>
    <w:rPr>
      <w:rFonts w:ascii="Noto Sans CJK SC" w:hAnsi="Noto Sans CJK SC" w:eastAsia="Noto Sans CJK SC"/>
    </w:rPr>
  </w:style>
  <w:style w:type="paragraph" w:styleId="List3">
    <w:name w:val="List 3"/>
    <w:basedOn w:val="Normal"/>
    <w:uiPriority w:val="99"/>
    <w:unhideWhenUsed/>
    <w:rsid w:val="00326F90"/>
    <w:pPr>
      <w:ind w:left="1080" w:hanging="360"/>
      <w:contextualSpacing/>
    </w:pPr>
    <w:rPr>
      <w:rFonts w:ascii="Noto Sans CJK SC" w:hAnsi="Noto Sans CJK SC" w:eastAsia="Noto Sans CJK SC"/>
    </w:rPr>
  </w:style>
  <w:style w:type="paragraph" w:styleId="ListBullet">
    <w:name w:val="List Bullet"/>
    <w:basedOn w:val="Normal"/>
    <w:uiPriority w:val="99"/>
    <w:unhideWhenUsed/>
    <w:rsid w:val="00326F90"/>
    <w:pPr>
      <w:numPr>
        <w:numId w:val="1"/>
      </w:numPr>
      <w:contextualSpacing/>
    </w:pPr>
    <w:rPr>
      <w:rFonts w:ascii="Noto Sans CJK SC" w:hAnsi="Noto Sans CJK SC" w:eastAsia="Noto Sans CJK SC"/>
    </w:rPr>
  </w:style>
  <w:style w:type="paragraph" w:styleId="ListBullet2">
    <w:name w:val="List Bullet 2"/>
    <w:basedOn w:val="Normal"/>
    <w:uiPriority w:val="99"/>
    <w:unhideWhenUsed/>
    <w:rsid w:val="00326F90"/>
    <w:pPr>
      <w:numPr>
        <w:numId w:val="2"/>
      </w:numPr>
      <w:contextualSpacing/>
    </w:pPr>
    <w:rPr>
      <w:rFonts w:ascii="Noto Sans CJK SC" w:hAnsi="Noto Sans CJK SC" w:eastAsia="Noto Sans CJK SC"/>
    </w:rPr>
  </w:style>
  <w:style w:type="paragraph" w:styleId="ListBullet3">
    <w:name w:val="List Bullet 3"/>
    <w:basedOn w:val="Normal"/>
    <w:uiPriority w:val="99"/>
    <w:unhideWhenUsed/>
    <w:rsid w:val="00326F90"/>
    <w:pPr>
      <w:numPr>
        <w:numId w:val="3"/>
      </w:numPr>
      <w:contextualSpacing/>
    </w:pPr>
    <w:rPr>
      <w:rFonts w:ascii="Noto Sans CJK SC" w:hAnsi="Noto Sans CJK SC" w:eastAsia="Noto Sans CJK SC"/>
    </w:rPr>
  </w:style>
  <w:style w:type="paragraph" w:styleId="ListNumber">
    <w:name w:val="List Number"/>
    <w:basedOn w:val="Normal"/>
    <w:uiPriority w:val="99"/>
    <w:unhideWhenUsed/>
    <w:rsid w:val="00326F90"/>
    <w:pPr>
      <w:numPr>
        <w:numId w:val="5"/>
      </w:numPr>
      <w:contextualSpacing/>
    </w:pPr>
    <w:rPr>
      <w:rFonts w:ascii="Noto Sans CJK SC" w:hAnsi="Noto Sans CJK SC" w:eastAsia="Noto Sans CJK SC"/>
    </w:rPr>
  </w:style>
  <w:style w:type="paragraph" w:styleId="ListNumber2">
    <w:name w:val="List Number 2"/>
    <w:basedOn w:val="Normal"/>
    <w:uiPriority w:val="99"/>
    <w:unhideWhenUsed/>
    <w:rsid w:val="0029639D"/>
    <w:pPr>
      <w:numPr>
        <w:numId w:val="6"/>
      </w:numPr>
      <w:contextualSpacing/>
    </w:pPr>
    <w:rPr>
      <w:rFonts w:ascii="Noto Sans CJK SC" w:hAnsi="Noto Sans CJK SC" w:eastAsia="Noto Sans CJK SC"/>
    </w:rPr>
  </w:style>
  <w:style w:type="paragraph" w:styleId="ListNumber3">
    <w:name w:val="List Number 3"/>
    <w:basedOn w:val="Normal"/>
    <w:uiPriority w:val="99"/>
    <w:unhideWhenUsed/>
    <w:rsid w:val="0029639D"/>
    <w:pPr>
      <w:numPr>
        <w:numId w:val="7"/>
      </w:numPr>
      <w:contextualSpacing/>
    </w:pPr>
    <w:rPr>
      <w:rFonts w:ascii="Noto Sans CJK SC" w:hAnsi="Noto Sans CJK SC" w:eastAsia="Noto Sans CJK SC"/>
    </w:rPr>
  </w:style>
  <w:style w:type="paragraph" w:styleId="ListContinue">
    <w:name w:val="List Continue"/>
    <w:basedOn w:val="Normal"/>
    <w:uiPriority w:val="99"/>
    <w:unhideWhenUsed/>
    <w:rsid w:val="0029639D"/>
    <w:pPr>
      <w:spacing w:after="120"/>
      <w:ind w:left="360"/>
      <w:contextualSpacing/>
    </w:pPr>
    <w:rPr>
      <w:rFonts w:ascii="Noto Sans CJK SC" w:hAnsi="Noto Sans CJK SC" w:eastAsia="Noto Sans CJK SC"/>
    </w:rPr>
  </w:style>
  <w:style w:type="paragraph" w:styleId="ListContinue2">
    <w:name w:val="List Continue 2"/>
    <w:basedOn w:val="Normal"/>
    <w:uiPriority w:val="99"/>
    <w:unhideWhenUsed/>
    <w:rsid w:val="0029639D"/>
    <w:pPr>
      <w:spacing w:after="120"/>
      <w:ind w:left="720"/>
      <w:contextualSpacing/>
    </w:pPr>
    <w:rPr>
      <w:rFonts w:ascii="Noto Sans CJK SC" w:hAnsi="Noto Sans CJK SC" w:eastAsia="Noto Sans CJK SC"/>
    </w:rPr>
  </w:style>
  <w:style w:type="paragraph" w:styleId="ListContinue3">
    <w:name w:val="List Continue 3"/>
    <w:basedOn w:val="Normal"/>
    <w:uiPriority w:val="99"/>
    <w:unhideWhenUsed/>
    <w:rsid w:val="0029639D"/>
    <w:pPr>
      <w:spacing w:after="120"/>
      <w:ind w:left="1080"/>
      <w:contextualSpacing/>
    </w:pPr>
    <w:rPr>
      <w:rFonts w:ascii="Noto Sans CJK SC" w:hAnsi="Noto Sans CJK SC" w:eastAsia="Noto Sans CJK SC"/>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Noto Sans CJK SC" w:hAnsi="Noto Sans CJK SC" w:eastAsia="Noto Sans CJK SC"/>
      <w:sz w:val="20"/>
      <w:szCs w:val="20"/>
    </w:rPr>
  </w:style>
  <w:style w:type="character" w:customStyle="1" w:styleId="MacroTextChar">
    <w:name w:val="Macro Text Char"/>
    <w:basedOn w:val="DefaultParagraphFont"/>
    <w:link w:val="MacroText"/>
    <w:uiPriority w:val="99"/>
    <w:rsid w:val="0029639D"/>
    <w:rPr>
      <w:rFonts w:ascii="Noto Sans CJK SC" w:hAnsi="Noto Sans CJK SC" w:eastAsia="Noto Sans CJK SC"/>
      <w:sz w:val="20"/>
      <w:szCs w:val="20"/>
    </w:rPr>
  </w:style>
  <w:style w:type="paragraph" w:styleId="Quote">
    <w:name w:val="Quote"/>
    <w:basedOn w:val="Normal"/>
    <w:next w:val="Normal"/>
    <w:link w:val="QuoteChar"/>
    <w:uiPriority w:val="29"/>
    <w:qFormat/>
    <w:rsid w:val="00FC693F"/>
    <w:rPr>
      <w:rFonts w:ascii="Noto Sans CJK SC" w:hAnsi="Noto Sans CJK SC" w:eastAsia="Noto Sans CJK SC"/>
      <w:i/>
      <w:iCs/>
      <w:color w:val="000000" w:themeColor="text1"/>
    </w:rPr>
  </w:style>
  <w:style w:type="character" w:customStyle="1" w:styleId="QuoteChar">
    <w:name w:val="Quote Char"/>
    <w:basedOn w:val="DefaultParagraphFont"/>
    <w:link w:val="Quote"/>
    <w:uiPriority w:val="29"/>
    <w:rsid w:val="00FC693F"/>
    <w:rPr>
      <w:rFonts w:ascii="Noto Sans CJK SC" w:hAnsi="Noto Sans CJK SC" w:eastAsia="Noto Sans CJK SC"/>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Noto Sans CJK SC" w:hAnsi="Noto Sans CJK SC" w:eastAsia="Noto Sans CJK SC"/>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Noto Sans CJK SC" w:hAnsi="Noto Sans CJK SC" w:eastAsia="Noto Sans CJK SC"/>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Noto Sans CJK SC" w:hAnsi="Noto Sans CJK SC" w:eastAsia="Noto Sans CJK SC"/>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Noto Sans CJK SC" w:hAnsi="Noto Sans CJK SC" w:eastAsia="Noto Sans CJK SC"/>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Noto Sans CJK SC" w:hAnsi="Noto Sans CJK SC" w:eastAsia="Noto Sans CJK SC"/>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Noto Sans CJK SC" w:hAnsi="Noto Sans CJK SC" w:eastAsia="Noto Sans CJK SC"/>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Noto Sans CJK SC" w:hAnsi="Noto Sans CJK SC" w:eastAsia="Noto Sans CJK SC"/>
      <w:b/>
      <w:bCs/>
      <w:color w:val="4F81BD" w:themeColor="accent1"/>
      <w:sz w:val="18"/>
      <w:szCs w:val="18"/>
    </w:rPr>
  </w:style>
  <w:style w:type="character" w:styleId="Strong">
    <w:name w:val="Strong"/>
    <w:basedOn w:val="DefaultParagraphFont"/>
    <w:uiPriority w:val="22"/>
    <w:qFormat/>
    <w:rsid w:val="00FC693F"/>
    <w:rPr>
      <w:rFonts w:ascii="Noto Sans CJK SC" w:hAnsi="Noto Sans CJK SC" w:eastAsia="Noto Sans CJK SC"/>
      <w:b/>
      <w:bCs/>
    </w:rPr>
  </w:style>
  <w:style w:type="character" w:styleId="Emphasis">
    <w:name w:val="Emphasis"/>
    <w:basedOn w:val="DefaultParagraphFont"/>
    <w:uiPriority w:val="20"/>
    <w:qFormat/>
    <w:rsid w:val="00FC693F"/>
    <w:rPr>
      <w:rFonts w:ascii="Noto Sans CJK SC" w:hAnsi="Noto Sans CJK SC" w:eastAsia="Noto Sans CJK SC"/>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Noto Sans CJK SC" w:hAnsi="Noto Sans CJK SC" w:eastAsia="Noto Sans CJK SC"/>
      <w:b/>
      <w:bCs/>
      <w:i/>
      <w:iCs/>
      <w:color w:val="4F81BD" w:themeColor="accent1"/>
    </w:rPr>
  </w:style>
  <w:style w:type="character" w:customStyle="1" w:styleId="IntenseQuoteChar">
    <w:name w:val="Intense Quote Char"/>
    <w:basedOn w:val="DefaultParagraphFont"/>
    <w:link w:val="IntenseQuote"/>
    <w:uiPriority w:val="30"/>
    <w:rsid w:val="00FC693F"/>
    <w:rPr>
      <w:rFonts w:ascii="Noto Sans CJK SC" w:hAnsi="Noto Sans CJK SC" w:eastAsia="Noto Sans CJK SC"/>
      <w:b/>
      <w:bCs/>
      <w:i/>
      <w:iCs/>
      <w:color w:val="4F81BD" w:themeColor="accent1"/>
    </w:rPr>
  </w:style>
  <w:style w:type="character" w:styleId="SubtleEmphasis">
    <w:name w:val="Subtle Emphasis"/>
    <w:basedOn w:val="DefaultParagraphFont"/>
    <w:uiPriority w:val="19"/>
    <w:qFormat/>
    <w:rsid w:val="00FC693F"/>
    <w:rPr>
      <w:rFonts w:ascii="Noto Sans CJK SC" w:hAnsi="Noto Sans CJK SC" w:eastAsia="Noto Sans CJK SC"/>
      <w:i/>
      <w:iCs/>
      <w:color w:val="808080" w:themeColor="text1" w:themeTint="7F"/>
    </w:rPr>
  </w:style>
  <w:style w:type="character" w:styleId="IntenseEmphasis">
    <w:name w:val="Intense Emphasis"/>
    <w:basedOn w:val="DefaultParagraphFont"/>
    <w:uiPriority w:val="21"/>
    <w:qFormat/>
    <w:rsid w:val="00FC693F"/>
    <w:rPr>
      <w:rFonts w:ascii="Noto Sans CJK SC" w:hAnsi="Noto Sans CJK SC" w:eastAsia="Noto Sans CJK SC"/>
      <w:b/>
      <w:bCs/>
      <w:i/>
      <w:iCs/>
      <w:color w:val="4F81BD" w:themeColor="accent1"/>
    </w:rPr>
  </w:style>
  <w:style w:type="character" w:styleId="SubtleReference">
    <w:name w:val="Subtle Reference"/>
    <w:basedOn w:val="DefaultParagraphFont"/>
    <w:uiPriority w:val="31"/>
    <w:qFormat/>
    <w:rsid w:val="00FC693F"/>
    <w:rPr>
      <w:rFonts w:ascii="Noto Sans CJK SC" w:hAnsi="Noto Sans CJK SC" w:eastAsia="Noto Sans CJK SC"/>
      <w:smallCaps/>
      <w:color w:val="C0504D" w:themeColor="accent2"/>
      <w:u w:val="single"/>
    </w:rPr>
  </w:style>
  <w:style w:type="character" w:styleId="IntenseReference">
    <w:name w:val="Intense Reference"/>
    <w:basedOn w:val="DefaultParagraphFont"/>
    <w:uiPriority w:val="32"/>
    <w:qFormat/>
    <w:rsid w:val="00FC693F"/>
    <w:rPr>
      <w:rFonts w:ascii="Noto Sans CJK SC" w:hAnsi="Noto Sans CJK SC" w:eastAsia="Noto Sans CJK SC"/>
      <w:b/>
      <w:bCs/>
      <w:smallCaps/>
      <w:color w:val="C0504D" w:themeColor="accent2"/>
      <w:spacing w:val="5"/>
      <w:u w:val="single"/>
    </w:rPr>
  </w:style>
  <w:style w:type="character" w:styleId="BookTitle">
    <w:name w:val="Book Title"/>
    <w:basedOn w:val="DefaultParagraphFont"/>
    <w:uiPriority w:val="33"/>
    <w:qFormat/>
    <w:rsid w:val="00FC693F"/>
    <w:rPr>
      <w:rFonts w:ascii="Noto Sans CJK SC" w:hAnsi="Noto Sans CJK SC" w:eastAsia="Noto Sans CJK SC"/>
      <w:b/>
      <w:bCs/>
      <w:smallCaps/>
      <w:spacing w:val="5"/>
    </w:rPr>
  </w:style>
  <w:style w:type="paragraph" w:styleId="TOCHeading">
    <w:name w:val="TOC Heading"/>
    <w:basedOn w:val="Heading1"/>
    <w:next w:val="Normal"/>
    <w:uiPriority w:val="39"/>
    <w:semiHidden/>
    <w:unhideWhenUsed/>
    <w:qFormat/>
    <w:rsid w:val="00FC693F"/>
    <w:pPr>
      <w:outlineLvl w:val="9"/>
    </w:pPr>
    <w:rPr>
      <w:rFonts w:ascii="Noto Sans CJK SC" w:hAnsi="Noto Sans CJK SC" w:eastAsia="Noto Sans CJK SC"/>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南蝠夏秋地形利用阶段分析</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