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南蝠垂直飞行状态与地形使用文章框架"/>
    <w:p>
      <w:pPr>
        <w:pStyle w:val="Heading1"/>
      </w:pPr>
      <w:r>
        <w:t xml:space="preserve">南蝠垂直飞行状态与地形使用：文章框架</w:t>
      </w:r>
    </w:p>
    <w:p>
      <w:pPr>
        <w:pStyle w:val="FirstParagraph"/>
      </w:pPr>
      <w:r>
        <w:t xml:space="preserve">整理日期：2026-10-14。</w:t>
      </w:r>
    </w:p>
    <w:p>
      <w:pPr>
        <w:pStyle w:val="BodyText"/>
      </w:pPr>
      <w:r>
        <w:t xml:space="preserve">依据用户要求，仅用最新交接说明确定研究范围和结果叙事，九月份报告不参与。资料依据为 10 月 14 日交接说明、本次上传汇总表及文献摘录。下文的模型数值来自交接说明，尚未在本环境复现；建议新增或核验的工作均不代表已经完成。</w:t>
      </w:r>
    </w:p>
    <w:bookmarkStart w:id="20" w:name="X871798ce72e285bc61f16d4f8c75c87a70969f6"/>
    <w:p>
      <w:pPr>
        <w:pStyle w:val="Heading2"/>
      </w:pPr>
      <w:r>
        <w:t xml:space="preserve">1. 文章要讲清楚的一件事</w:t>
      </w:r>
    </w:p>
    <w:p>
      <w:pPr>
        <w:pStyle w:val="FirstParagraph"/>
      </w:pPr>
      <w:r>
        <w:rPr>
          <w:b/>
          <w:bCs/>
        </w:rPr>
        <w:t xml:space="preserve">以垂直飞行状态为线索，研究南蝠在夏季和秋季的地形使用—可得关联，并直接比较同一状态下的季节差异。</w:t>
      </w:r>
    </w:p>
    <w:p>
      <w:pPr>
        <w:pStyle w:val="BodyText"/>
      </w:pPr>
      <w:r>
        <w:t xml:space="preserve">读者应沿着以下逻辑理解文章：山地地形提供不同空间背景 → 上升、近水平和下降对应不同垂直运动状态 → 分别估计各状态相对于可得地形的使用关联 → 比较同一状态的夏秋关联系数。</w:t>
      </w:r>
    </w:p>
    <w:p>
      <w:pPr>
        <w:pStyle w:val="BodyText"/>
      </w:pPr>
      <w:r>
        <w:t xml:space="preserve">这是一条研究问题与分析步骤的逻辑链，不是已经证实的因果链。最新材料足以形成有重点的论文框架；证据定位为样本量有限的探索性观察研究。</w:t>
      </w:r>
    </w:p>
    <w:p>
      <w:pPr>
        <w:pStyle w:val="BodyText"/>
      </w:pPr>
      <w:r>
        <w:t xml:space="preserve">当前最值得发展的结果线索是上升态：夏季上升与较高局部 TPI 正相关；秋季上升与较高地面高程正相关；直接季节对比同时显示，秋季上升态的地面高程关联系数更大，TPI 关联系数更小。由此可讨论上升飞行的地形关联在两季呈现不同特征，但不能将其写成已证明的行为机制转换。</w:t>
      </w:r>
    </w:p>
    <w:bookmarkEnd w:id="20"/>
    <w:bookmarkStart w:id="21" w:name="X56f97d1b25bef1a1fd6ac16e66789de45c49a68"/>
    <w:p>
      <w:pPr>
        <w:pStyle w:val="Heading2"/>
      </w:pPr>
      <w:r>
        <w:t xml:space="preserve">2. 建议题目与贡献定位</w:t>
      </w:r>
    </w:p>
    <w:p>
      <w:pPr>
        <w:pStyle w:val="FirstParagraph"/>
      </w:pPr>
      <w:r>
        <w:t xml:space="preserve">中文工作题目：</w:t>
      </w:r>
      <w:r>
        <w:rPr>
          <w:b/>
          <w:bCs/>
        </w:rPr>
        <w:t xml:space="preserve">南蝠垂直飞行状态与地形使用关联的夏秋比较</w:t>
      </w:r>
      <w:r>
        <w:t xml:space="preserve">。</w:t>
      </w:r>
    </w:p>
    <w:p>
      <w:pPr>
        <w:pStyle w:val="BodyText"/>
      </w:pPr>
      <w:r>
        <w:t xml:space="preserve">英文工作题目：</w:t>
      </w:r>
      <w:r>
        <w:rPr>
          <w:b/>
          <w:bCs/>
        </w:rPr>
        <w:t xml:space="preserve">Terrain-use associations across vertical flight states in bats: a summer–autumn comparison</w:t>
      </w:r>
      <w:r>
        <w:t xml:space="preserve">。</w:t>
      </w:r>
    </w:p>
    <w:p>
      <w:pPr>
        <w:pStyle w:val="BodyText"/>
      </w:pPr>
      <w:r>
        <w:t xml:space="preserve">英文物种名称需用物种鉴定记录确认；不从“南蝠”直接推定拉丁学名。题目也不承诺“利用上升气流”“节能飞行”或纯粹的季节因果效应。</w:t>
      </w:r>
    </w:p>
    <w:p>
      <w:pPr>
        <w:pStyle w:val="BodyText"/>
      </w:pPr>
      <w:r>
        <w:t xml:space="preserve">与现有文献的衔接可表述为：已有研究讨论蝙蝠垂直飞行与山地地形的联系，本研究进一步在共同的分析框架下，区分垂直状态并直接比较两个季节样本中的地形关联。目前仅查阅了上传文献摘录，不声称这是首次发现或填补了未经系统检索确认的空白。</w:t>
      </w:r>
    </w:p>
    <w:bookmarkEnd w:id="21"/>
    <w:bookmarkStart w:id="22" w:name="X73a2096354bdde8bb2c424504b924d3daf937db"/>
    <w:p>
      <w:pPr>
        <w:pStyle w:val="Heading2"/>
      </w:pPr>
      <w:r>
        <w:t xml:space="preserve">3. 科学问题如何安排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问题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需要回答的内容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对应证据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当前状态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Q1 状态内关联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每个季节的上升、近水平和下降状态分别与哪些地形变量关联？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各季节 × 各状态的使用—可得系数与区间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交接说明提供部分结果，完整系数表待核对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Q2 同状态季节差异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同一垂直状态对同一地形变量的关联在夏秋之间是否不同？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Autumn - Summer 的直接系数对比与区间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已记录 3 项名义区间不跨零结果，其余对比待核对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样本与状态描述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每种状态有哪些个体和连续段支持，识别是否可信？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样本流程、状态诊断、代表轨迹、个体分布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仅有状态样本表，诊断与轨迹待补</w:t>
            </w:r>
          </w:p>
        </w:tc>
      </w:tr>
    </w:tbl>
    <w:p>
      <w:pPr>
        <w:pStyle w:val="BodyText"/>
      </w:pPr>
      <w:r>
        <w:t xml:space="preserve">Q1 与 Q2 是文章的核心问题。分别估计的状态系数不同，不自动构成状态间差异的正式检验；如果需要写“上升与下降的关联显著不同”，还需相应直接对比及不确定性。现有直接对比针对的是季节。</w:t>
      </w:r>
    </w:p>
    <w:p>
      <w:pPr>
        <w:pStyle w:val="BodyText"/>
      </w:pPr>
      <w:r>
        <w:t xml:space="preserve">研究问题可以写在引言末尾；具体方向性预测若是在看过现有结果后提出，应明确是解释性或后续验证假设，不能倒写成事先确定的预测。</w:t>
      </w:r>
    </w:p>
    <w:bookmarkEnd w:id="22"/>
    <w:bookmarkStart w:id="23" w:name="X02acdbe56995547b301aa929301fe158166a6d6"/>
    <w:p>
      <w:pPr>
        <w:pStyle w:val="Heading2"/>
      </w:pPr>
      <w:r>
        <w:t xml:space="preserve">4. 现有材料分别承担什么角色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材料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可承担的角色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暂不能承担的角色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最新交接说明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确定主问题、方法设定、样本支持和结果摘要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替代原始模型输出、完整方法记录和复现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tmp_night_metrics.csv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检查汇总结构；核实字段和身份后补充轨迹背景描述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恢复 HMM 状态、连续段、匹配可得点或主模型；以日期重新定义原始分段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文献摘录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支持引言与讨论中的方法背景、提出可能机制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证明本项目已有局地风场、空速或能量消耗证据</w:t>
            </w:r>
          </w:p>
        </w:tc>
      </w:tr>
    </w:tbl>
    <w:p>
      <w:pPr>
        <w:pStyle w:val="BodyText"/>
      </w:pPr>
      <w:r>
        <w:t xml:space="preserve">本次 CSV 的 2021 两季共有 27 行设备—日期汇总。设备标签存在待确认别名；汇总计数与最新主分析使用点数不是同一已核验口径，因此现在不将其拼接进主结果。2024 秋不进入本文两季主比较。九月材料只归档。</w:t>
      </w:r>
    </w:p>
    <w:bookmarkEnd w:id="23"/>
    <w:bookmarkStart w:id="27" w:name="X6a42aed6513e07c6c860caeb3c7592977e0bb2e"/>
    <w:p>
      <w:pPr>
        <w:pStyle w:val="Heading2"/>
        <w:pageBreakBefore/>
      </w:pPr>
      <w:r>
        <w:t xml:space="preserve">5. 结果的叙述顺序与解释</w:t>
      </w:r>
    </w:p>
    <w:bookmarkStart w:id="24" w:name="X1e472b4a2fab9d976475f6d6123e89131d3a0f8"/>
    <w:p>
      <w:pPr>
        <w:pStyle w:val="Heading3"/>
      </w:pPr>
      <w:r>
        <w:t xml:space="preserve">5.1 先交代样本支持和状态识别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季节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b/>
                <w:sz w:val="18"/>
              </w:rPr>
              <w:t xml:space="preserve">使用点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b/>
                <w:sz w:val="18"/>
              </w:rPr>
              <w:t xml:space="preserve">个体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b/>
                <w:sz w:val="18"/>
              </w:rPr>
              <w:t xml:space="preserve">连续段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Summer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Ascent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214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Summer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Quasi-horizontal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746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Summer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Descent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72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Autumn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Ascent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440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Autumn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Quasi-horizontal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637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Autumn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Descent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66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right"/>
            </w:pPr>
            <w:r>
              <w:rPr>
                <w:sz w:val="18"/>
              </w:rPr>
              <w:t xml:space="preserve">6</w:t>
            </w:r>
          </w:p>
        </w:tc>
      </w:tr>
    </w:tbl>
    <w:p>
      <w:pPr>
        <w:pStyle w:val="BodyText"/>
      </w:pPr>
      <w:r>
        <w:t xml:space="preserve">上述点数合计夏季 1,032、秋季 1,143。个体数、连续段数不能跨状态相加。三种状态的点数也不能直接解释为飞行时间预算或季节活动强度：记录间隔、跟踪时长、筛选及状态置信度会影响计数。平稳状态统一使用“近水平飞行（Quasi-horizontal）”，避免“平稳”暗示速度或轨迹方向恒定。</w:t>
      </w:r>
    </w:p>
    <w:p>
      <w:pPr>
        <w:pStyle w:val="BodyText"/>
      </w:pPr>
      <w:r>
        <w:t xml:space="preserve">状态识别应展示实际垂直速度分布、后验概率、持续时间和各个体贡献，核验按季节分别拟合的状态含义是否可比。HMM 状态描述垂直运动，不直接等于觅食、通勤或搜索行为。</w:t>
      </w:r>
    </w:p>
    <w:bookmarkEnd w:id="24"/>
    <w:bookmarkStart w:id="25" w:name="X6b2f3ea8c1a0f1004559e24164a4dacfb04daf5"/>
    <w:p>
      <w:pPr>
        <w:pStyle w:val="Heading3"/>
      </w:pPr>
      <w:r>
        <w:t xml:space="preserve">5.2 再报告状态内的地形关联</w:t>
      </w:r>
    </w:p>
    <w:p>
      <w:pPr>
        <w:pStyle w:val="FirstParagraph"/>
      </w:pPr>
      <w:r>
        <w:t xml:space="preserve">以下均为交接说明所列结果，区间为未做多重比较校正的个体 bootstrap 95% CI。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结果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系数与区间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可采用的解释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夏季上升与 90 m TPI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0.261，95% CI [0.034, 0.392]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在所定义可得背景下，上升使用点与较高局部地形位置呈正关联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秋季上升与地面高程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0.396，[0.148, 0.719]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秋季上升使用点与较高地面高程呈正关联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秋季近水平与地面高程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0.296，[0.172, 0.427]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秋季近水平使用点也呈地面高程正关联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秋季下降与地面高程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-0.639，[-1.086, -0.189]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秋季下降使用点呈地面高程负关联；个体复制有限</w:t>
            </w:r>
          </w:p>
        </w:tc>
      </w:tr>
    </w:tbl>
    <w:p>
      <w:pPr>
        <w:pStyle w:val="BodyText"/>
      </w:pPr>
      <w:r>
        <w:t xml:space="preserve">“较高 TPI”表示相对周围地形更高的位置，不必然是已划定的山脊类别。地面高程是蝙蝠所在位置下方地表的高程，不能改写成蝙蝠飞得更高。下降态的高程负关联也不能推断同一条轨迹从某山脊下降到某谷地。</w:t>
      </w:r>
    </w:p>
    <w:p>
      <w:pPr>
        <w:pStyle w:val="BodyText"/>
      </w:pPr>
      <w:r>
        <w:t xml:space="preserve">最终正文和主图应呈现全部预设地形变量：地面高程、坡度、90 m TPI、90 m 粗糙度。不要只展示区间不跨零的条目；交接说明没有列出的结果也不能直接写作“没有效应”。</w:t>
      </w:r>
    </w:p>
    <w:bookmarkEnd w:id="25"/>
    <w:bookmarkStart w:id="26" w:name="X4daede4d5a19c08e5eb202c45fd7be5ea84f7dd"/>
    <w:p>
      <w:pPr>
        <w:pStyle w:val="Heading3"/>
      </w:pPr>
      <w:r>
        <w:t xml:space="preserve">5.3 用同状态季节差异构成文章的比较重点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状态与变量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Autumn - Summer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可采用的解释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上升 × 地面高程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0.540，95% CI [0.089, 1.643]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上升态的地面高程关联系数在秋季更大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上升 × 90 m TPI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-0.322，[-0.514, -0.057]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上升态的局部 TPI 关联系数在秋季更小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下降 × 地面高程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-1.290，[-3.217, -0.340]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下降态的地面高程关联系数在秋季更小；属于低复制探索性结果</w:t>
            </w:r>
          </w:p>
        </w:tc>
      </w:tr>
    </w:tbl>
    <w:p>
      <w:pPr>
        <w:pStyle w:val="BodyText"/>
      </w:pPr>
      <w:r>
        <w:t xml:space="preserve">这里比较的是标准化系数，不是平均海拔或平均 TPI。地面高程与 TPI 是不同地形属性，两者的对比共同提示上升态关联特征随季节样本而变化，但不能据此证明响应尺度已转换、某变量“取代”另一变量或两季地形均值发生特定变化。</w:t>
      </w:r>
    </w:p>
    <w:p>
      <w:pPr>
        <w:pStyle w:val="BodyText"/>
      </w:pPr>
      <w:r>
        <w:t xml:space="preserve">不能以“一季区间跨零、另一季不跨零”代替季节差异检验。更小的 TPI 系数也不自动意味着秋季回避山脊；仍需看秋季本身的完整估计。</w:t>
      </w:r>
    </w:p>
    <w:p>
      <w:pPr>
        <w:pStyle w:val="BodyText"/>
      </w:pPr>
      <w:r>
        <w:t xml:space="preserve">下降态与所有其他预设结果保留在完整呈现中，讨论篇幅和结论权重与样本支持相称。不要只因上升态信号突出就事后移除其他状态。</w:t>
      </w:r>
    </w:p>
    <w:bookmarkEnd w:id="26"/>
    <w:bookmarkEnd w:id="27"/>
    <w:bookmarkStart w:id="32" w:name="X73cbff25c64d00c181f018ddb4c0e375583ec04"/>
    <w:p>
      <w:pPr>
        <w:pStyle w:val="Heading2"/>
      </w:pPr>
      <w:r>
        <w:t xml:space="preserve">6. 正文章节怎么写</w:t>
      </w:r>
    </w:p>
    <w:bookmarkStart w:id="28" w:name="引言四段完成铺垫"/>
    <w:p>
      <w:pPr>
        <w:pStyle w:val="Heading3"/>
      </w:pPr>
      <w:r>
        <w:t xml:space="preserve">引言：四段完成铺垫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生态背景。</w:t>
      </w:r>
      <w:r>
        <w:t xml:space="preserve"> </w:t>
      </w:r>
      <w:r>
        <w:t xml:space="preserve">山地地形在高程、坡面和局部地形位置上具有异质性，蝙蝠的三维飞行提供了研究这种空间联系的机会。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状态视角。</w:t>
      </w:r>
      <w:r>
        <w:t xml:space="preserve"> </w:t>
      </w:r>
      <w:r>
        <w:t xml:space="preserve">已有文献将垂直运动与地形联系起来；区分上升、近水平、下降有助于提出更具体的问题。节能、导航、猎物分布等仅作为可能解释。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季节问题。</w:t>
      </w:r>
      <w:r>
        <w:t xml:space="preserve"> </w:t>
      </w:r>
      <w:r>
        <w:t xml:space="preserve">两季样本提供比较同一状态地形关联的机会；明确个体构成也不同，避免把观察性对比预先写成同一个体的季节调整。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研究目标。</w:t>
      </w:r>
      <w:r>
        <w:t xml:space="preserve"> </w:t>
      </w:r>
      <w:r>
        <w:t xml:space="preserve">列出 Q1、Q2，概括 GPS 垂直状态识别、段内可得背景和个体层级不确定性估计。</w:t>
      </w:r>
    </w:p>
    <w:bookmarkEnd w:id="28"/>
    <w:bookmarkStart w:id="29" w:name="方法按数据流组织"/>
    <w:p>
      <w:pPr>
        <w:pStyle w:val="Heading3"/>
      </w:pPr>
      <w:r>
        <w:t xml:space="preserve">方法：按数据流组织</w:t>
      </w:r>
    </w:p>
    <w:p>
      <w:pPr>
        <w:pStyle w:val="Compact"/>
        <w:numPr>
          <w:ilvl w:val="0"/>
          <w:numId w:val="1002"/>
        </w:numPr>
      </w:pPr>
      <w:r>
        <w:t xml:space="preserve">研究区、物种、采样、设备精度、时间与高度基准；未知信息留待原记录补全。</w:t>
      </w:r>
    </w:p>
    <w:p>
      <w:pPr>
        <w:pStyle w:val="Compact"/>
        <w:numPr>
          <w:ilvl w:val="0"/>
          <w:numId w:val="1002"/>
        </w:numPr>
      </w:pPr>
      <w:r>
        <w:t xml:space="preserve">数据清理和原始连续段定义：列出缺失、时间间隔等排除规则及各步样本量。</w:t>
      </w:r>
    </w:p>
    <w:p>
      <w:pPr>
        <w:pStyle w:val="Compact"/>
        <w:numPr>
          <w:ilvl w:val="0"/>
          <w:numId w:val="1002"/>
        </w:numPr>
      </w:pPr>
      <w:r>
        <w:t xml:space="preserve">垂直状态识别：按季节的方向受限三态 Gaussian HMM、0.25 m/s 方向阈值、0.75 后验阈值、120 s 持续要求、5–180 s 合格增量间隔；说明低置信度或短状态处理，不从摘要猜测实现。</w:t>
      </w:r>
    </w:p>
    <w:p>
      <w:pPr>
        <w:pStyle w:val="Compact"/>
        <w:numPr>
          <w:ilvl w:val="0"/>
          <w:numId w:val="1002"/>
        </w:numPr>
      </w:pPr>
      <w:r>
        <w:t xml:space="preserve">地形与可得性：地面高程、坡度、90 m TPI、90 m 粗糙度；95% kernel UD、带宽、投影和抽样；每使用点 20 个段内可得点。90 m 的半径/直径/窗口定义及 DEM 来源分辨率须由最新脚本或方法记录核实，不从九月报告补入。</w:t>
      </w:r>
    </w:p>
    <w:p>
      <w:pPr>
        <w:pStyle w:val="Compact"/>
        <w:numPr>
          <w:ilvl w:val="0"/>
          <w:numId w:val="1002"/>
        </w:numPr>
      </w:pPr>
      <w:r>
        <w:t xml:space="preserve">模型与比较：条件逻辑模型的分层键、变量是否共同纳入、全局标准化集合与参数、个体整群 bootstrap、同状态直接季节差值。bootstrap 1,000 次、种子 20261014 来自当前记录；需报告有效重复数与失败处理。</w:t>
      </w:r>
    </w:p>
    <w:p>
      <w:pPr>
        <w:pStyle w:val="Compact"/>
        <w:numPr>
          <w:ilvl w:val="0"/>
          <w:numId w:val="1002"/>
        </w:numPr>
      </w:pPr>
      <w:r>
        <w:t xml:space="preserve">诊断与敏感性：说明已经实际执行的项目及结果，不将拟议检查写成已完成。</w:t>
      </w:r>
    </w:p>
    <w:bookmarkEnd w:id="29"/>
    <w:bookmarkStart w:id="30" w:name="结果按证据递进"/>
    <w:p>
      <w:pPr>
        <w:pStyle w:val="Heading3"/>
      </w:pPr>
      <w:r>
        <w:t xml:space="preserve">结果：按证据递进</w:t>
      </w:r>
    </w:p>
    <w:p>
      <w:pPr>
        <w:pStyle w:val="Compact"/>
        <w:numPr>
          <w:ilvl w:val="0"/>
          <w:numId w:val="1003"/>
        </w:numPr>
      </w:pPr>
      <w:r>
        <w:t xml:space="preserve">样本覆盖与垂直状态识别。</w:t>
      </w:r>
    </w:p>
    <w:p>
      <w:pPr>
        <w:pStyle w:val="Compact"/>
        <w:numPr>
          <w:ilvl w:val="0"/>
          <w:numId w:val="1003"/>
        </w:numPr>
      </w:pPr>
      <w:r>
        <w:t xml:space="preserve">各状态的地形使用—可得关联，完整展示全部变量。</w:t>
      </w:r>
    </w:p>
    <w:p>
      <w:pPr>
        <w:pStyle w:val="Compact"/>
        <w:numPr>
          <w:ilvl w:val="0"/>
          <w:numId w:val="1003"/>
        </w:numPr>
      </w:pPr>
      <w:r>
        <w:t xml:space="preserve">同一状态内的夏秋直接差异。</w:t>
      </w:r>
    </w:p>
    <w:p>
      <w:pPr>
        <w:pStyle w:val="Compact"/>
        <w:numPr>
          <w:ilvl w:val="0"/>
          <w:numId w:val="1003"/>
        </w:numPr>
      </w:pPr>
      <w:r>
        <w:t xml:space="preserve">个体影响、模型稳定性和敏感性结果（取得输出后补全）。</w:t>
      </w:r>
    </w:p>
    <w:bookmarkEnd w:id="30"/>
    <w:bookmarkStart w:id="31" w:name="讨论五段对应研究问题"/>
    <w:p>
      <w:pPr>
        <w:pStyle w:val="Heading3"/>
      </w:pPr>
      <w:r>
        <w:t xml:space="preserve">讨论：五段对应研究问题</w:t>
      </w:r>
    </w:p>
    <w:p>
      <w:pPr>
        <w:pStyle w:val="Compact"/>
        <w:numPr>
          <w:ilvl w:val="0"/>
          <w:numId w:val="1004"/>
        </w:numPr>
      </w:pPr>
      <w:r>
        <w:t xml:space="preserve">概括状态内关联与同状态季节对比，标注探索性证据。</w:t>
      </w:r>
    </w:p>
    <w:p>
      <w:pPr>
        <w:pStyle w:val="Compact"/>
        <w:numPr>
          <w:ilvl w:val="0"/>
          <w:numId w:val="1004"/>
        </w:numPr>
      </w:pPr>
      <w:r>
        <w:t xml:space="preserve">重点讨论上升态的地面高程和局部 TPI 结果；区分不同地形含义。</w:t>
      </w:r>
    </w:p>
    <w:p>
      <w:pPr>
        <w:pStyle w:val="Compact"/>
        <w:numPr>
          <w:ilvl w:val="0"/>
          <w:numId w:val="1004"/>
        </w:numPr>
      </w:pPr>
      <w:r>
        <w:t xml:space="preserve">讨论秋季近水平与下降态的高程关联，突出下降态低复制与未经直接检验的状态间比较。</w:t>
      </w:r>
    </w:p>
    <w:p>
      <w:pPr>
        <w:pStyle w:val="Compact"/>
        <w:numPr>
          <w:ilvl w:val="0"/>
          <w:numId w:val="1004"/>
        </w:numPr>
      </w:pPr>
      <w:r>
        <w:t xml:space="preserve">将地形跟随、导航、猎物分布或气流条件作为可验证机制，明确现有数据不区分这些解释。</w:t>
      </w:r>
    </w:p>
    <w:p>
      <w:pPr>
        <w:pStyle w:val="Compact"/>
        <w:numPr>
          <w:ilvl w:val="0"/>
          <w:numId w:val="1004"/>
        </w:numPr>
      </w:pPr>
      <w:r>
        <w:t xml:space="preserve">讨论不确定性与可推广范围：少数个体、季节与个体组成混杂、GPS 垂直误差、UD 背景依赖、多重比较以及状态判别误差。</w:t>
      </w:r>
    </w:p>
    <w:p>
      <w:pPr>
        <w:pStyle w:val="FirstParagraph"/>
      </w:pPr>
      <w:r>
        <w:t xml:space="preserve">结论聚焦于该样本中垂直状态与地形的关联及其季节对比。保护意义可以提出需要关注飞行状态与地形背景，但不能由这套结果直接划定风机风险区或推算碰撞风险。</w:t>
      </w:r>
    </w:p>
    <w:bookmarkEnd w:id="31"/>
    <w:bookmarkEnd w:id="32"/>
    <w:bookmarkStart w:id="33" w:name="Xf7936271dc5799d1173bf35bed902bcd833b471"/>
    <w:p>
      <w:pPr>
        <w:pStyle w:val="Heading2"/>
      </w:pPr>
      <w:r>
        <w:t xml:space="preserve">7. 图表安排</w:t>
      </w:r>
    </w:p>
    <w:p>
      <w:pPr>
        <w:pStyle w:val="FirstParagraph"/>
      </w:pPr>
      <w:r>
        <w:t xml:space="preserve">建议采用</w:t>
      </w:r>
      <w:r>
        <w:t xml:space="preserve"> </w:t>
      </w:r>
      <w:r>
        <w:rPr>
          <w:b/>
          <w:bCs/>
        </w:rPr>
        <w:t xml:space="preserve">3 张主图 + 1 张样本表</w:t>
      </w:r>
      <w:r>
        <w:t xml:space="preserve">，先保证每张图回答一个问题。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图表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内容与作用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制作前所需材料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图 1：研究区与垂直状态示例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A：两季轨迹及地形背景；B：预先按清晰完整、时间覆盖等规则选择的代表连续段，高度/垂直速度及三态颜色。示例仅说明分类，不作总体结论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经纬度、地形栅格、原始段 ID、时间、高度、状态及后验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图 2：状态内地形关联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3 个状态面板，4 个地形变量，夏秋配色，系数及 95% 区间，零参考线；标注各季节个体数。若模型完整应有 24 个系数，不补造缺失项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完整 state_terrain_association_results.csv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图 3：同状态季节差异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3 个状态 × 4 个变量，共 12 个预设对比的 Autumn - Summer 系数及区间；明确正负方向和下降态低复制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完整 state_terrain_season_difference.csv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表 1：样本支持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季节 × 状态的使用点、个体和连续段数，列明筛选口径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现有交接表可形成待复核草稿</w:t>
            </w:r>
          </w:p>
        </w:tc>
      </w:tr>
    </w:tbl>
    <w:p>
      <w:pPr>
        <w:pStyle w:val="BodyText"/>
      </w:pPr>
      <w:r>
        <w:t xml:space="preserve">全部图的图注明确区间未做多重比较校正。不用显著性星号强化探索性结果，不把条件逻辑模型画成不受抽样设计影响的绝对“出现概率”。不将不等间隔的记录点占比标成时间占比。</w:t>
      </w:r>
    </w:p>
    <w:p>
      <w:pPr>
        <w:pStyle w:val="BodyText"/>
      </w:pPr>
      <w:r>
        <w:t xml:space="preserve">补充材料优先包含：样本筛选流程、设备/个体映射、HMM 状态诊断与低置信度比例、地形相关性和数据覆盖、标准化参数、完整系数/对比表、bootstrap 有效次数及个体影响分析。整体 pooled RSF 如保留，只放在敏感性部分；不能替代状态结果。</w:t>
      </w:r>
    </w:p>
    <w:p>
      <w:pPr>
        <w:pStyle w:val="BodyText"/>
      </w:pPr>
      <w:r>
        <w:t xml:space="preserve">当前只有选出的 7 条结果摘要，尚不适合制作看似完整的图 2 或图 3。先保存图版设计，取得完整表后按预设顺序作图。</w:t>
      </w:r>
    </w:p>
    <w:bookmarkEnd w:id="33"/>
    <w:bookmarkStart w:id="34" w:name="X55768b8db33d35f808f8838443e43c72f46eafb"/>
    <w:p>
      <w:pPr>
        <w:pStyle w:val="Heading2"/>
      </w:pPr>
      <w:r>
        <w:t xml:space="preserve">8. 定稿前最必要的核验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B8C6D4"/>
          <w:left w:val="single" w:sz="4" w:color="B8C6D4"/>
          <w:bottom w:val="single" w:sz="4" w:color="B8C6D4"/>
          <w:right w:val="single" w:sz="4" w:color="B8C6D4"/>
          <w:insideH w:val="single" w:sz="4" w:color="B8C6D4"/>
          <w:insideV w:val="single" w:sz="4" w:color="B8C6D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优先级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要解决的问题</w:t>
            </w:r>
          </w:p>
        </w:tc>
        <w:tc>
          <w:tcPr>
            <w:shd w:fill="EAF0F6"/>
          </w:tcPr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b/>
                <w:sz w:val="18"/>
              </w:rPr>
              <w:t xml:space="preserve">原因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对齐最新主脚本、输入、完整结果和交接表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确认文章写的是同一次分析，并补齐未列出的系数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确认个体身份和跨季 NENU022；保留原始段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个体是主要推断单位，身份或分段错误会影响整套结果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核查垂直测量、各季 HMM 状态含义与阈值处理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高度误差与分类差异可能影响状态比较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核查 UD、抽样、90 m 邻域、标准化和地形覆盖/相关性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确定系数针对的地形背景与可解释范围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核查 bootstrap 重复个体处理、失败拟合、有效次数和直接差值计算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置信区间的可靠性直接决定季节对比的证据强度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优先稳健性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留一个体分析，特别关注下降态</w:t>
            </w:r>
          </w:p>
        </w:tc>
        <w:tc>
          <w:tcPr/>
          <w:p>
            <w:pPr>
              <w:pStyle w:val="Compact"/>
              <w:keepNext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判断结果是否主要由一个个体驱动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优先稳健性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有限、合理的状态阈值与可得背景设定敏感性</w:t>
            </w:r>
          </w:p>
        </w:tc>
        <w:tc>
          <w:tcPr/>
          <w:p>
            <w:pPr>
              <w:pStyle w:val="Compact"/>
              <w:keepNext w:val="0"/>
              <w:keepLines/>
              <w:spacing w:before="60" w:after="60" w:line="252" w:lineRule="auto"/>
              <w:jc w:val="left"/>
            </w:pPr>
            <w:r>
              <w:rPr>
                <w:sz w:val="18"/>
              </w:rPr>
              <w:t xml:space="preserve">检查结果是否强依赖单一设定；提前记录方案，完整报告，不择优挑选</w:t>
            </w:r>
          </w:p>
        </w:tc>
      </w:tr>
    </w:tbl>
    <w:p>
      <w:pPr>
        <w:pStyle w:val="BodyText"/>
      </w:pPr>
      <w:r>
        <w:t xml:space="preserve">当前已查看结果，不能事后把分析包装成预注册的确认性检验。可采用透明的探索性呈现：报告全部估计与未调整区间；如决定增加多重比较处理，需要先定义检验族、选择与重采样输出匹配的方法，完整报告处理结果。不能仅凭摘要中的区间端点精确恢复检验 p 值。</w:t>
      </w:r>
    </w:p>
    <w:p>
      <w:pPr>
        <w:pStyle w:val="BodyText"/>
      </w:pPr>
      <w:r>
        <w:t xml:space="preserve">大规模增加风场模型、路径几何模型或状态转换模型不是当前文章结构成立的前提。先核实这条核心证据链，再判断是否确有必要扩展。</w:t>
      </w:r>
    </w:p>
    <w:bookmarkEnd w:id="34"/>
    <w:bookmarkStart w:id="35" w:name="X4c24268a5157639d9bf2a2042cfd26e7555a538"/>
    <w:p>
      <w:pPr>
        <w:pStyle w:val="Heading2"/>
      </w:pPr>
      <w:r>
        <w:t xml:space="preserve">9. 可用的摘要骨架（待完整输出复核）</w:t>
      </w:r>
    </w:p>
    <w:p>
      <w:pPr>
        <w:pStyle w:val="FirstParagraph"/>
      </w:pPr>
      <w:r>
        <w:rPr>
          <w:b/>
          <w:bCs/>
        </w:rPr>
        <w:t xml:space="preserve">背景与目的：</w:t>
      </w:r>
      <w:r>
        <w:t xml:space="preserve"> </w:t>
      </w:r>
      <w:r>
        <w:t xml:space="preserve">山地地形可能与蝙蝠的垂直飞行活动相关。本研究比较 2021 年夏、秋两季南蝠在上升、近水平和下降状态下的地形使用—可得关联。</w:t>
      </w:r>
    </w:p>
    <w:p>
      <w:pPr>
        <w:pStyle w:val="BodyText"/>
      </w:pPr>
      <w:r>
        <w:rPr>
          <w:b/>
          <w:bCs/>
        </w:rPr>
        <w:t xml:space="preserve">方法：</w:t>
      </w:r>
      <w:r>
        <w:t xml:space="preserve"> </w:t>
      </w:r>
      <w:r>
        <w:t xml:space="preserve">按季节识别三种垂直飞行状态，在原始连续段的 95% kernel UD 内为使用点匹配可得点，以条件逻辑模型估计地面高程、坡度、90 m TPI 和粗糙度的关联，并通过个体整群 bootstrap 估计不确定性及同状态季节差异。</w:t>
      </w:r>
    </w:p>
    <w:p>
      <w:pPr>
        <w:pStyle w:val="BodyText"/>
      </w:pPr>
      <w:r>
        <w:rPr>
          <w:b/>
          <w:bCs/>
        </w:rPr>
        <w:t xml:space="preserve">结果：</w:t>
      </w:r>
      <w:r>
        <w:t xml:space="preserve"> </w:t>
      </w:r>
      <w:r>
        <w:t xml:space="preserve">按现有交接记录，夏季上升态与 TPI 正关联，秋季上升及近水平态与地面高程正关联；直接季节对比显示，上升态地面高程关联系数在秋季更大，而 TPI 关联系数更小。秋季下降态的地面高程负关联及其季节对比属于低复制探索性结果。上述信号基于未做多重比较校正的区间。</w:t>
      </w:r>
    </w:p>
    <w:p>
      <w:pPr>
        <w:pStyle w:val="BodyText"/>
      </w:pPr>
      <w:r>
        <w:rPr>
          <w:b/>
          <w:bCs/>
        </w:rPr>
        <w:t xml:space="preserve">结论：</w:t>
      </w:r>
      <w:r>
        <w:t xml:space="preserve"> </w:t>
      </w:r>
      <w:r>
        <w:t xml:space="preserve">当前结果提示，在所定义可得地形背景下，蝙蝠垂直飞行的地形关联值得按状态和季节分别研究；其季节解释仍受到个体构成与有限复制的约束。局地气流、能量收益等机制需进一步数据检验。</w:t>
      </w:r>
    </w:p>
    <w:p>
      <w:pPr>
        <w:pStyle w:val="BodyText"/>
      </w:pPr>
      <w:r>
        <w:t xml:space="preserve">正式摘要应在模型复核后定稿，补入适量效应量与区间，且不把少数区间不跨零结果写成确认性发现。</w:t>
      </w:r>
    </w:p>
    <w:bookmarkEnd w:id="35"/>
    <w:bookmarkEnd w:id="36"/>
    <w:sectPr>
      <w:footerReference w:type="default" r:id="rId9"/>
      <w:pgSz w:w="11906" w:h="16838"/>
      <w:pgMar w:top="1020" w:bottom="1020" w:left="1077" w:right="1077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南蝠文章框架 ·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00"/>
    </w:pPr>
    <w:rPr>
      <w:rFonts w:ascii="Noto Sans CJK SC" w:hAnsi="Noto Sans CJK SC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Noto Sans CJK SC" w:hAnsi="Noto Sans CJK SC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00"/>
    </w:pPr>
    <w:rPr>
      <w:rFonts w:ascii="Noto Sans CJK SC" w:hAnsi="Noto Sans CJK SC" w:eastAsia="Noto Sans CJK SC"/>
      <w:sz w:val="21"/>
    </w:rPr>
  </w:style>
  <w:style w:customStyle="1" w:styleId="Compact" w:type="paragraph">
    <w:name w:val="Compact"/>
    <w:basedOn w:val="BodyText"/>
    <w:qFormat/>
    <w:pPr>
      <w:spacing w:after="100" w:before="36" w:line="276" w:lineRule="auto"/>
    </w:pPr>
    <w:rPr>
      <w:rFonts w:ascii="Noto Sans CJK SC" w:hAnsi="Noto Sans CJK SC" w:eastAsia="Noto Sans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hAnsi="Noto Sans CJK SC" w:eastAsia="Noto Sans CJK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oto Sans CJK SC" w:hAnsi="Noto Sans CJK SC" w:eastAsia="Noto Sans CJK S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oto Sans CJK SC" w:hAnsi="Noto Sans CJK SC" w:eastAsia="Noto Sans CJK S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Noto Sans CJK SC" w:hAnsi="Noto Sans CJK SC" w:eastAsia="Noto Sans CJK SC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oto Sans CJK SC" w:hAnsi="Noto Sans CJK SC" w:eastAsia="Noto Sans CJK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oto Sans CJK SC" w:hAnsi="Noto Sans CJK SC" w:eastAsia="Noto Sans CJK S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Noto Sans CJK SC" w:hAnsi="Noto Sans CJK SC" w:eastAsia="Noto Sans CJK SC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Noto Sans CJK SC" w:hAnsi="Noto Sans CJK SC" w:eastAsia="Noto Sans CJK S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Noto Sans CJK SC" w:hAnsi="Noto Sans CJK SC" w:eastAsia="Noto Sans CJK S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Noto Sans CJK SC" w:hAnsi="Noto Sans CJK SC" w:eastAsia="Noto Sans CJK S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Noto Sans CJK SC" w:hAnsi="Noto Sans CJK SC" w:eastAsia="Noto Sans CJK S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Noto Sans CJK SC" w:hAnsi="Noto Sans CJK SC" w:eastAsia="Noto Sans CJK S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 CJK SC" w:hAnsi="Noto Sans CJK SC" w:eastAsia="Noto Sans CJK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oto Sans CJK SC" w:hAnsi="Noto Sans CJK SC" w:eastAsia="Noto Sans CJK SC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Noto Sans CJK SC" w:hAnsi="Noto Sans CJK SC" w:eastAsia="Noto Sans CJK SC"/>
    </w:rPr>
  </w:style>
  <w:style w:default="1" w:styleId="DefaultParagraphFont" w:type="character">
    <w:name w:val="Default Paragraph Font"/>
    <w:semiHidden/>
    <w:unhideWhenUsed/>
    <w:rPr>
      <w:rFonts w:ascii="Noto Sans CJK SC" w:hAnsi="Noto Sans CJK SC" w:eastAsia="Noto Sans CJK S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oto Sans CJK SC" w:hAnsi="Noto Sans CJK SC" w:eastAsia="Noto Sans CJK SC"/>
      <w:b/>
    </w:rPr>
  </w:style>
  <w:style w:customStyle="1" w:styleId="Definition" w:type="paragraph">
    <w:name w:val="Definition"/>
    <w:basedOn w:val="Normal"/>
    <w:rPr>
      <w:rFonts w:ascii="Noto Sans CJK SC" w:hAnsi="Noto Sans CJK SC" w:eastAsia="Noto Sans CJK S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eastAsia="Noto Sans CJK SC"/>
      <w:i/>
    </w:rPr>
  </w:style>
  <w:style w:customStyle="1" w:styleId="TableCaption" w:type="paragraph">
    <w:name w:val="Table Caption"/>
    <w:basedOn w:val="Caption"/>
    <w:pPr>
      <w:keepNext/>
    </w:pPr>
    <w:rPr>
      <w:rFonts w:ascii="Noto Sans CJK SC" w:hAnsi="Noto Sans CJK SC" w:eastAsia="Noto Sans CJK SC"/>
    </w:rPr>
  </w:style>
  <w:style w:customStyle="1" w:styleId="ImageCaption" w:type="paragraph">
    <w:name w:val="Image Caption"/>
    <w:basedOn w:val="Caption"/>
    <w:rPr>
      <w:rFonts w:ascii="Noto Sans CJK SC" w:hAnsi="Noto Sans CJK SC" w:eastAsia="Noto Sans CJK SC"/>
    </w:rPr>
  </w:style>
  <w:style w:customStyle="1" w:styleId="Figure" w:type="paragraph">
    <w:name w:val="Figure"/>
    <w:basedOn w:val="Normal"/>
    <w:rPr>
      <w:rFonts w:ascii="Noto Sans CJK SC" w:hAnsi="Noto Sans CJK SC" w:eastAsia="Noto Sans CJK SC"/>
    </w:rPr>
  </w:style>
  <w:style w:customStyle="1" w:styleId="CaptionedFigure" w:type="paragraph">
    <w:name w:val="Captioned Figure"/>
    <w:basedOn w:val="Figure"/>
    <w:pPr>
      <w:keepNext/>
    </w:pPr>
    <w:rPr>
      <w:rFonts w:ascii="Noto Sans CJK SC" w:hAnsi="Noto Sans CJK SC" w:eastAsia="Noto Sans CJK SC"/>
    </w:rPr>
  </w:style>
  <w:style w:customStyle="1" w:styleId="BodyTextChar" w:type="character">
    <w:name w:val="Body Text Char"/>
    <w:basedOn w:val="DefaultParagraphFont"/>
    <w:link w:val="BodyText"/>
    <w:rPr>
      <w:rFonts w:ascii="Noto Sans CJK SC" w:hAnsi="Noto Sans CJK SC" w:eastAsia="Noto Sans CJK SC"/>
    </w:rPr>
  </w:style>
  <w:style w:customStyle="1" w:styleId="VerbatimChar" w:type="character">
    <w:name w:val="Verbatim Char"/>
    <w:basedOn w:val="BodyTextChar"/>
    <w:rPr>
      <w:rFonts w:ascii="Noto Sans CJK SC" w:hAnsi="Noto Sans CJK SC" w:eastAsia="Noto Sans CJK SC"/>
      <w:sz w:val="22"/>
    </w:rPr>
  </w:style>
  <w:style w:customStyle="1" w:styleId="SectionNumber" w:type="character">
    <w:name w:val="Section Number"/>
    <w:basedOn w:val="BodyTextChar"/>
    <w:rPr>
      <w:rFonts w:ascii="Noto Sans CJK SC" w:hAnsi="Noto Sans CJK SC" w:eastAsia="Noto Sans CJK SC"/>
    </w:rPr>
  </w:style>
  <w:style w:styleId="FootnoteReference" w:type="character">
    <w:name w:val="Footnote Reference"/>
    <w:basedOn w:val="BodyTextChar"/>
    <w:rPr>
      <w:rFonts w:ascii="Noto Sans CJK SC" w:hAnsi="Noto Sans CJK SC" w:eastAsia="Noto Sans CJK SC"/>
      <w:vertAlign w:val="superscript"/>
    </w:rPr>
  </w:style>
  <w:style w:styleId="Hyperlink" w:type="character">
    <w:name w:val="Hyperlink"/>
    <w:basedOn w:val="BodyTextChar"/>
    <w:rPr>
      <w:rFonts w:ascii="Noto Sans CJK SC" w:hAnsi="Noto Sans CJK SC" w:eastAsia="Noto Sans CJK S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Noto Sans CJK SC" w:hAnsi="Noto Sans CJK SC" w:eastAsia="Noto Sans CJK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SC" w:hAnsi="Noto Sans CJK SC" w:eastAsia="Noto Sans CJK SC"/>
    </w:rPr>
  </w:style>
  <w:style w:type="character" w:customStyle="1" w:styleId="KeywordTok">
    <w:name w:val="KeywordTok"/>
    <w:basedOn w:val="VerbatimChar"/>
    <w:rPr>
      <w:rFonts w:ascii="Noto Sans CJK SC" w:hAnsi="Noto Sans CJK SC" w:eastAsia="Noto Sans CJK SC"/>
      <w:b/>
      <w:color w:val="007020"/>
    </w:rPr>
  </w:style>
  <w:style w:type="character" w:customStyle="1" w:styleId="DataTypeTok">
    <w:name w:val="DataTypeTok"/>
    <w:basedOn w:val="VerbatimChar"/>
    <w:rPr>
      <w:rFonts w:ascii="Noto Sans CJK SC" w:hAnsi="Noto Sans CJK SC" w:eastAsia="Noto Sans CJK SC"/>
      <w:color w:val="902000"/>
    </w:rPr>
  </w:style>
  <w:style w:type="character" w:customStyle="1" w:styleId="DecValTok">
    <w:name w:val="DecValTok"/>
    <w:basedOn w:val="VerbatimChar"/>
    <w:rPr>
      <w:rFonts w:ascii="Noto Sans CJK SC" w:hAnsi="Noto Sans CJK SC" w:eastAsia="Noto Sans CJK SC"/>
      <w:color w:val="40a070"/>
    </w:rPr>
  </w:style>
  <w:style w:type="character" w:customStyle="1" w:styleId="BaseNTok">
    <w:name w:val="BaseNTok"/>
    <w:basedOn w:val="VerbatimChar"/>
    <w:rPr>
      <w:rFonts w:ascii="Noto Sans CJK SC" w:hAnsi="Noto Sans CJK SC" w:eastAsia="Noto Sans CJK SC"/>
      <w:color w:val="40a070"/>
    </w:rPr>
  </w:style>
  <w:style w:type="character" w:customStyle="1" w:styleId="FloatTok">
    <w:name w:val="FloatTok"/>
    <w:basedOn w:val="VerbatimChar"/>
    <w:rPr>
      <w:rFonts w:ascii="Noto Sans CJK SC" w:hAnsi="Noto Sans CJK SC" w:eastAsia="Noto Sans CJK SC"/>
      <w:color w:val="40a070"/>
    </w:rPr>
  </w:style>
  <w:style w:type="character" w:customStyle="1" w:styleId="ConstantTok">
    <w:name w:val="ConstantTok"/>
    <w:basedOn w:val="VerbatimChar"/>
    <w:rPr>
      <w:rFonts w:ascii="Noto Sans CJK SC" w:hAnsi="Noto Sans CJK SC" w:eastAsia="Noto Sans CJK SC"/>
      <w:color w:val="880000"/>
    </w:rPr>
  </w:style>
  <w:style w:type="character" w:customStyle="1" w:styleId="CharTok">
    <w:name w:val="CharTok"/>
    <w:basedOn w:val="VerbatimChar"/>
    <w:rPr>
      <w:rFonts w:ascii="Noto Sans CJK SC" w:hAnsi="Noto Sans CJK SC" w:eastAsia="Noto Sans CJK SC"/>
      <w:color w:val="4070a0"/>
    </w:rPr>
  </w:style>
  <w:style w:type="character" w:customStyle="1" w:styleId="SpecialCharTok">
    <w:name w:val="SpecialCharTok"/>
    <w:basedOn w:val="VerbatimChar"/>
    <w:rPr>
      <w:rFonts w:ascii="Noto Sans CJK SC" w:hAnsi="Noto Sans CJK SC" w:eastAsia="Noto Sans CJK SC"/>
      <w:color w:val="4070a0"/>
    </w:rPr>
  </w:style>
  <w:style w:type="character" w:customStyle="1" w:styleId="StringTok">
    <w:name w:val="StringTok"/>
    <w:basedOn w:val="VerbatimChar"/>
    <w:rPr>
      <w:rFonts w:ascii="Noto Sans CJK SC" w:hAnsi="Noto Sans CJK SC" w:eastAsia="Noto Sans CJK SC"/>
      <w:color w:val="4070a0"/>
    </w:rPr>
  </w:style>
  <w:style w:type="character" w:customStyle="1" w:styleId="VerbatimStringTok">
    <w:name w:val="VerbatimStringTok"/>
    <w:basedOn w:val="VerbatimChar"/>
    <w:rPr>
      <w:rFonts w:ascii="Noto Sans CJK SC" w:hAnsi="Noto Sans CJK SC" w:eastAsia="Noto Sans CJK SC"/>
      <w:color w:val="4070a0"/>
    </w:rPr>
  </w:style>
  <w:style w:type="character" w:customStyle="1" w:styleId="SpecialStringTok">
    <w:name w:val="SpecialStringTok"/>
    <w:basedOn w:val="VerbatimChar"/>
    <w:rPr>
      <w:rFonts w:ascii="Noto Sans CJK SC" w:hAnsi="Noto Sans CJK SC" w:eastAsia="Noto Sans CJK SC"/>
      <w:color w:val="bb6688"/>
    </w:rPr>
  </w:style>
  <w:style w:type="character" w:customStyle="1" w:styleId="ImportTok">
    <w:name w:val="ImportTok"/>
    <w:basedOn w:val="VerbatimChar"/>
    <w:rPr>
      <w:rFonts w:ascii="Noto Sans CJK SC" w:hAnsi="Noto Sans CJK SC" w:eastAsia="Noto Sans CJK SC"/>
      <w:b/>
      <w:color w:val="008000"/>
    </w:rPr>
  </w:style>
  <w:style w:type="character" w:customStyle="1" w:styleId="CommentTok">
    <w:name w:val="CommentTok"/>
    <w:basedOn w:val="VerbatimChar"/>
    <w:rPr>
      <w:rFonts w:ascii="Noto Sans CJK SC" w:hAnsi="Noto Sans CJK SC" w:eastAsia="Noto Sans CJK SC"/>
      <w:i/>
      <w:color w:val="60a0b0"/>
    </w:rPr>
  </w:style>
  <w:style w:type="character" w:customStyle="1" w:styleId="DocumentationTok">
    <w:name w:val="DocumentationTok"/>
    <w:basedOn w:val="VerbatimChar"/>
    <w:rPr>
      <w:rFonts w:ascii="Noto Sans CJK SC" w:hAnsi="Noto Sans CJK SC" w:eastAsia="Noto Sans CJK SC"/>
      <w:i/>
      <w:color w:val="ba2121"/>
    </w:rPr>
  </w:style>
  <w:style w:type="character" w:customStyle="1" w:styleId="AnnotationTok">
    <w:name w:val="Annotation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CommentVarTok">
    <w:name w:val="CommentVar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OtherTok">
    <w:name w:val="OtherTok"/>
    <w:basedOn w:val="VerbatimChar"/>
    <w:rPr>
      <w:rFonts w:ascii="Noto Sans CJK SC" w:hAnsi="Noto Sans CJK SC" w:eastAsia="Noto Sans CJK SC"/>
      <w:color w:val="007020"/>
    </w:rPr>
  </w:style>
  <w:style w:type="character" w:customStyle="1" w:styleId="FunctionTok">
    <w:name w:val="FunctionTok"/>
    <w:basedOn w:val="VerbatimChar"/>
    <w:rPr>
      <w:rFonts w:ascii="Noto Sans CJK SC" w:hAnsi="Noto Sans CJK SC" w:eastAsia="Noto Sans CJK SC"/>
      <w:color w:val="06287e"/>
    </w:rPr>
  </w:style>
  <w:style w:type="character" w:customStyle="1" w:styleId="VariableTok">
    <w:name w:val="VariableTok"/>
    <w:basedOn w:val="VerbatimChar"/>
    <w:rPr>
      <w:rFonts w:ascii="Noto Sans CJK SC" w:hAnsi="Noto Sans CJK SC" w:eastAsia="Noto Sans CJK SC"/>
      <w:color w:val="19177c"/>
    </w:rPr>
  </w:style>
  <w:style w:type="character" w:customStyle="1" w:styleId="ControlFlowTok">
    <w:name w:val="ControlFlowTok"/>
    <w:basedOn w:val="VerbatimChar"/>
    <w:rPr>
      <w:rFonts w:ascii="Noto Sans CJK SC" w:hAnsi="Noto Sans CJK SC" w:eastAsia="Noto Sans CJK SC"/>
      <w:b/>
      <w:color w:val="007020"/>
    </w:rPr>
  </w:style>
  <w:style w:type="character" w:customStyle="1" w:styleId="OperatorTok">
    <w:name w:val="OperatorTok"/>
    <w:basedOn w:val="VerbatimChar"/>
    <w:rPr>
      <w:rFonts w:ascii="Noto Sans CJK SC" w:hAnsi="Noto Sans CJK SC" w:eastAsia="Noto Sans CJK SC"/>
      <w:color w:val="666666"/>
    </w:rPr>
  </w:style>
  <w:style w:type="character" w:customStyle="1" w:styleId="BuiltInTok">
    <w:name w:val="BuiltInTok"/>
    <w:basedOn w:val="VerbatimChar"/>
    <w:rPr>
      <w:rFonts w:ascii="Noto Sans CJK SC" w:hAnsi="Noto Sans CJK SC" w:eastAsia="Noto Sans CJK SC"/>
      <w:color w:val="008000"/>
    </w:rPr>
  </w:style>
  <w:style w:type="character" w:customStyle="1" w:styleId="ExtensionTok">
    <w:name w:val="ExtensionTok"/>
    <w:basedOn w:val="VerbatimChar"/>
    <w:rPr>
      <w:rFonts w:ascii="Noto Sans CJK SC" w:hAnsi="Noto Sans CJK SC" w:eastAsia="Noto Sans CJK SC"/>
    </w:rPr>
  </w:style>
  <w:style w:type="character" w:customStyle="1" w:styleId="PreprocessorTok">
    <w:name w:val="PreprocessorTok"/>
    <w:basedOn w:val="VerbatimChar"/>
    <w:rPr>
      <w:rFonts w:ascii="Noto Sans CJK SC" w:hAnsi="Noto Sans CJK SC" w:eastAsia="Noto Sans CJK SC"/>
      <w:color w:val="bc7a00"/>
    </w:rPr>
  </w:style>
  <w:style w:type="character" w:customStyle="1" w:styleId="AttributeTok">
    <w:name w:val="AttributeTok"/>
    <w:basedOn w:val="VerbatimChar"/>
    <w:rPr>
      <w:rFonts w:ascii="Noto Sans CJK SC" w:hAnsi="Noto Sans CJK SC" w:eastAsia="Noto Sans CJK SC"/>
      <w:color w:val="7d9029"/>
    </w:rPr>
  </w:style>
  <w:style w:type="character" w:customStyle="1" w:styleId="RegionMarkerTok">
    <w:name w:val="RegionMarkerTok"/>
    <w:basedOn w:val="VerbatimChar"/>
    <w:rPr>
      <w:rFonts w:ascii="Noto Sans CJK SC" w:hAnsi="Noto Sans CJK SC" w:eastAsia="Noto Sans CJK SC"/>
    </w:rPr>
  </w:style>
  <w:style w:type="character" w:customStyle="1" w:styleId="InformationTok">
    <w:name w:val="Information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WarningTok">
    <w:name w:val="Warning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AlertTok">
    <w:name w:val="AlertTok"/>
    <w:basedOn w:val="VerbatimChar"/>
    <w:rPr>
      <w:rFonts w:ascii="Noto Sans CJK SC" w:hAnsi="Noto Sans CJK SC" w:eastAsia="Noto Sans CJK SC"/>
      <w:b/>
      <w:color w:val="ff0000"/>
    </w:rPr>
  </w:style>
  <w:style w:type="character" w:customStyle="1" w:styleId="ErrorTok">
    <w:name w:val="ErrorTok"/>
    <w:basedOn w:val="VerbatimChar"/>
    <w:rPr>
      <w:rFonts w:ascii="Noto Sans CJK SC" w:hAnsi="Noto Sans CJK SC" w:eastAsia="Noto Sans CJK SC"/>
      <w:b/>
      <w:color w:val="ff0000"/>
    </w:rPr>
  </w:style>
  <w:style w:type="character" w:customStyle="1" w:styleId="NormalTok">
    <w:name w:val="NormalTok"/>
    <w:basedOn w:val="VerbatimChar"/>
    <w:rPr>
      <w:rFonts w:ascii="Noto Sans CJK SC" w:hAnsi="Noto Sans CJK SC" w:eastAsia="Noto Sans CJK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南蝠垂直飞行状态与地形使用：文章框架</dc:title>
  <dc:creator/>
  <cp:keywords/>
  <dcterms:created xsi:type="dcterms:W3CDTF">2026-10-14T08:44:35Z</dcterms:created>
  <dcterms:modified xsi:type="dcterms:W3CDTF">2026-10-14T08:44:35Z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