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Assessment Memorandum — JPMorgan Chase &amp; Co. (NYSE: JPM)</w:t>
      </w:r>
    </w:p>
    <w:p>
      <w:r>
        <w:rPr>
          <w:b/>
        </w:rPr>
        <w:t>TO:</w:t>
        <w:tab/>
      </w:r>
      <w:r>
        <w:t>Credit Committee, Financial Institutions Group</w:t>
      </w:r>
    </w:p>
    <w:p>
      <w:r>
        <w:rPr>
          <w:b/>
        </w:rPr>
        <w:t>FROM:</w:t>
        <w:tab/>
      </w:r>
      <w:r>
        <w:t>Senior Credit Analyst, Financial Institutions Group</w:t>
      </w:r>
    </w:p>
    <w:p>
      <w:r>
        <w:rPr>
          <w:b/>
        </w:rPr>
        <w:t>DATE:</w:t>
        <w:tab/>
      </w:r>
      <w:r>
        <w:t>May 2026</w:t>
      </w:r>
    </w:p>
    <w:p>
      <w:r>
        <w:rPr>
          <w:b/>
        </w:rPr>
        <w:t>RE:</w:t>
        <w:tab/>
      </w:r>
      <w:r>
        <w:t>Credit Assessment Memorandum — JPMorgan Chase &amp; Co. (NYSE: JPM)</w:t>
      </w:r>
    </w:p>
    <w:p>
      <w:r>
        <w:t>________________________________________________________________________________</w:t>
      </w:r>
    </w:p>
    <w:p>
      <w:pPr>
        <w:pStyle w:val="Heading1"/>
      </w:pPr>
      <w:r>
        <w:t>Executive Summary</w:t>
      </w:r>
    </w:p>
    <w:p>
      <w:r>
        <w:rPr>
          <w:b w:val="0"/>
        </w:rPr>
        <w:t>JPMorgan Chase &amp; Co. (NYSE: JPM) maintains one of the strongest credit profiles among global systemically important banks. Based on our analysis of the firm's financial performance from FY 2022 through Q1 2026, we recommend an internal credit rating of Investment Grade 2 (IG-2), reflecting a very strong capacity to meet financial commitments with limited vulnerability to adverse economic conditions.</w:t>
      </w:r>
    </w:p>
    <w:p>
      <w:r>
        <w:rPr>
          <w:b w:val="0"/>
        </w:rPr>
        <w:t>JPM's principal credit strengths include consistent revenue growth, with total revenues increasing from $128.7 billion in FY 2022 to $182.4 billion in FY 2025, representing a cumulative increase of approximately 41.8% over the three-year period. Net income has demonstrated similar positive momentum, reaching $57.0 billion in FY 2025. The firm's equity base has expanded steadily, growing from $344.8 billion at FY 2024 to $364.0 billion at Q1 2026, providing a substantial loss-absorption buffer.</w:t>
      </w:r>
    </w:p>
    <w:p>
      <w:r>
        <w:rPr>
          <w:b w:val="0"/>
        </w:rPr>
        <w:t>Key vulnerabilities include the sheer scale of JPM's balance sheet, which reached $4.9 trillion in total assets by Q1 2026, creating significant operational complexity and regulatory capital requirements. The filing of multiple 424B2 prospectus supplements in May 2026 suggests active capital markets issuance, which may signal forthcoming increases in long-term debt and associated servicing costs. Additionally, the concentration risk inherent in a universal banking model exposes the firm to correlated losses across business lines during severe stress scenarios.</w:t>
      </w:r>
    </w:p>
    <w:p>
      <w:r>
        <w:rPr>
          <w:b w:val="0"/>
        </w:rPr>
        <w:t>The single most significant credit risk factor for JPMorgan Chase is the potential for a severe economic downturn that simultaneously impairs credit quality across its consumer and wholesale lending portfolios while depressing capital markets revenues, thereby straining both the income statement and balance sheet concurrently.</w:t>
      </w:r>
    </w:p>
    <w:p>
      <w:pPr>
        <w:pStyle w:val="Heading1"/>
      </w:pPr>
      <w:r>
        <w:t>Financial Performance Analysis</w:t>
      </w:r>
    </w:p>
    <w:p>
      <w:r>
        <w:rPr>
          <w:b w:val="0"/>
        </w:rPr>
        <w:t>JPMorgan Chase has demonstrated robust and accelerating revenue growth over the FY 2022 to FY 2025 period. Total revenues were $128.7 billion in FY 2022, rising to $158.1 billion in FY 2023 (year-over-year growth of 22.9%), then to $177.6 billion in FY 2024 (growth of 12.3%), and reaching $182.4 billion in FY 2025 (growth of 2.8%). While the growth rate has decelerated from the initial post-pandemic surge, the firm has sustained positive top-line momentum across all periods.</w:t>
      </w:r>
    </w:p>
    <w:p>
      <w:r>
        <w:rPr>
          <w:b w:val="0"/>
        </w:rPr>
        <w:t>Profitability on a quarterly basis shows strong and stable earnings generation. In FY 2025, single-quarter net income was $14.6 billion in Q1, $15.0 billion in Q2, and $14.4 billion in Q3. The fourth quarter can be inferred from the full-year figure of $57.0 billion less the nine-month cumulative of $44.0 billion, yielding approximately $13.0 billion for Q4 2025. Q1 2026 net income of $16.5 billion represents a sequential increase from Q4 2025 and a year-over-year increase of 12.6% from Q1 2025's $14.6 billion.</w:t>
      </w:r>
    </w:p>
    <w:p>
      <w:r>
        <w:rPr>
          <w:b w:val="0"/>
        </w:rPr>
        <w:t>Diluted earnings per share followed a consistent trajectory. Q1 2025 reported $5.07, Q2 2025 reported $5.24, and Q3 2025 reported $5.07. The full-year FY 2025 diluted EPS was $20.02. For Q1 2026, diluted EPS reached $5.94, representing a 17.2% increase over Q1 2025, outpacing the net income growth rate, which suggests meaningful share repurchase activity reducing the share count.</w:t>
      </w:r>
    </w:p>
    <w:p>
      <w:r>
        <w:rPr>
          <w:b w:val="0"/>
        </w:rPr>
        <w:t>A notable inflection point is the revenue growth deceleration from 22.9% in FY 2023 to 2.8% in FY 2025, which may reflect normalization from the elevated interest rate environment and capital markets volatility that benefited trading revenues in prior years. However, the acceleration in Q1 2026 EPS growth relative to net income growth indicates continued shareholder return optimization.</w:t>
      </w:r>
    </w:p>
    <w:p>
      <w:r>
        <w:rPr>
          <w:b w:val="0"/>
        </w:rPr>
        <w:t>The following table summarizes key financial metrics across the analysis period:</w:t>
      </w:r>
    </w:p>
    <w:p>
      <w:r>
        <w:rPr>
          <w:b w:val="0"/>
        </w:rPr>
        <w:t>FY 2022: Revenue $128.7B; FY 2023: Revenue $158.1B (+22.9% YoY); FY 2024: Revenue $177.6B (+12.3% YoY); FY 2025: Revenue $182.4B (+2.8% YoY). Quarterly Net Income FY 2025: Q1 $14.6B, Q2 $15.0B, Q3 $14.4B, Q4 (implied) $13.0B. Q1 2026 Net Income: $16.5B. Q1 2025 Diluted EPS: $5.07; Q2 2025: $5.24; Q3 2025: $5.07; FY 2025: $20.02; Q1 2026: $5.94.</w:t>
      </w:r>
    </w:p>
    <w:p>
      <w:pPr>
        <w:pStyle w:val="Heading1"/>
      </w:pPr>
      <w:r>
        <w:t>Balance Sheet and Leverage Assessment</w:t>
      </w:r>
    </w:p>
    <w:p>
      <w:r>
        <w:rPr>
          <w:b w:val="0"/>
        </w:rPr>
        <w:t>JPMorgan Chase's balance sheet has expanded materially over the period under review. Total assets grew from $4,002.8 billion at FY 2024 to $4,357.9 billion at Q1 2025, further expanding to $4,424.9 billion at FY 2025, and reaching $4,900.5 billion at Q1 2026. This represents a $897.7 billion increase (22.4%) from FY 2024 to Q1 2026, reflecting substantial organic growth and potential acquisition-related expansion.</w:t>
      </w:r>
    </w:p>
    <w:p>
      <w:r>
        <w:rPr>
          <w:b w:val="0"/>
        </w:rPr>
        <w:t>Total liabilities followed a parallel trajectory, rising from $3,658.1 billion at FY 2024 to $4,006.4 billion at Q1 2025, then $4,062.5 billion at FY 2025, and $4,536.4 billion at Q1 2026. The growth in liabilities has slightly outpaced the growth in equity in absolute terms, though the equity cushion has remained stable on a percentage basis.</w:t>
      </w:r>
    </w:p>
    <w:p>
      <w:r>
        <w:rPr>
          <w:b w:val="0"/>
        </w:rPr>
        <w:t>Stockholders' equity has grown steadily from $344.8 billion at FY 2024 to $351.4 billion at Q1 2025, $362.4 billion at FY 2025, and $364.0 billion at Q1 2026. The total equity increase of $19.3 billion (5.6%) over this period is modest relative to asset growth, though it reflects consistent retained earnings accumulation net of capital returns to shareholders.</w:t>
      </w:r>
    </w:p>
    <w:p>
      <w:r>
        <w:rPr>
          <w:b w:val="0"/>
        </w:rPr>
        <w:t>The equity-to-assets ratio — a key measure of balance sheet resilience — has declined modestly over the period: 8.61% at FY 2024, 8.06% at Q1 2025, 8.19% at FY 2025, and 7.43% at Q1 2026. The Q1 2026 ratio represents the lowest level in the series, driven by the sharp $475.6 billion increase in assets from FY 2025 to Q1 2026. The corresponding leverage ratios (assets-to-equity) were 11.6x at FY 2024, 12.4x at Q1 2025, 12.2x at FY 2025, and 13.5x at Q1 2026.</w:t>
      </w:r>
    </w:p>
    <w:p>
      <w:r>
        <w:rPr>
          <w:b w:val="0"/>
        </w:rPr>
        <w:t>The trend in leverage metrics warrants close monitoring. While a 13.5x assets-to-equity ratio is within normal ranges for a large universal bank, the direction of travel has been toward higher leverage. The acceleration in asset growth without commensurate equity increases could become a credit concern if sustained, particularly if asset quality deteriorates in a downturn.</w:t>
      </w:r>
    </w:p>
    <w:p>
      <w:pPr>
        <w:pStyle w:val="Heading1"/>
      </w:pPr>
      <w:r>
        <w:t>Capital Position and Adequacy</w:t>
      </w:r>
    </w:p>
    <w:p>
      <w:r>
        <w:rPr>
          <w:b w:val="0"/>
        </w:rPr>
        <w:t>JPMorgan Chase's stockholders' equity has expanded from $344.8 billion at FY 2024 to $364.0 billion at Q1 2026, an increase of $19.3 billion or 5.6%. This growth has been driven primarily by retained earnings, as evidenced by the $57.0 billion in net income generated during FY 2025 alone, partially offset by dividends and share repurchases. The equity growth rate has been positive but has lagged the 22.4% growth in total assets over the same period, resulting in the declining equity-to-assets ratio observed in the leverage analysis.</w:t>
      </w:r>
    </w:p>
    <w:p>
      <w:r>
        <w:rPr>
          <w:b w:val="0"/>
        </w:rPr>
        <w:t>The filing of ten 424B2 prospectus supplements on May 14, 2026, is a noteworthy development. A 424B2 filing is used to register the issuance of securities — typically debt instruments — on a delayed or continuous basis. The volume of filings on a single date suggests that JPM is actively issuing multiple tranches of debt securities, potentially across different maturities, currencies, or subordination levels. This activity is consistent with JPM's ongoing need to fund its growing balance sheet and to maintain adequate long-term debt ratios required by total loss-absorbing capacity (TLAC) regulations.</w:t>
      </w:r>
    </w:p>
    <w:p>
      <w:r>
        <w:rPr>
          <w:b w:val="0"/>
        </w:rPr>
        <w:t>From a credit perspective, the debt issuance activity is a double-edged factor. On one hand, accessing debt capital markets demonstrates JPM's continued strong market access and investor confidence, as evidenced by its ability to issue across multiple tranches. On the other hand, the issuance will increase JPM's total debt outstanding and associated interest expense, which could pressure coverage ratios if earnings growth moderates.</w:t>
      </w:r>
    </w:p>
    <w:p>
      <w:r>
        <w:rPr>
          <w:b w:val="0"/>
        </w:rPr>
        <w:t>Assessing whether the equity base is sufficient to support the observed asset growth requires consideration of regulatory capital requirements. While the provided financial data does not include Tier 1 capital ratios or risk-weighted assets, the declining equity-to-assets ratio from 8.61% to 7.43% over five quarters suggests that the firm's capital growth is not keeping pace with balance sheet expansion. This trend, if it continues, could eventually trigger heightened regulatory scrutiny or constrain the firm's ability to make further acquisitions or increase capital distributions.</w:t>
      </w:r>
    </w:p>
    <w:p>
      <w:pPr>
        <w:pStyle w:val="Heading1"/>
      </w:pPr>
      <w:r>
        <w:t>Risk Factors and Mitigants</w:t>
      </w:r>
    </w:p>
    <w:p>
      <w:r>
        <w:rPr>
          <w:b w:val="0"/>
        </w:rPr>
        <w:t>Credit Risk Factor 1 — Balance Sheet Leverage Expansion: JPM's leverage ratio has increased from 11.6x at FY 2024 to 13.5x at Q1 2026, reflecting asset growth that substantially outpaces equity accumulation. This trend increases the firm's vulnerability to asset value impairments. Mitigant: The equity base continues to grow in absolute terms, reaching $364.0 billion at Q1 2026, and the firm's consistent profitability ($57.0 billion net income in FY 2025) provides a strong retained earnings pipeline to support future capital build. Additionally, the leverage ratio of 13.5x remains within acceptable bounds for a G-SIB.</w:t>
      </w:r>
    </w:p>
    <w:p>
      <w:r>
        <w:rPr>
          <w:b w:val="0"/>
        </w:rPr>
        <w:t>Credit Risk Factor 2 — Revenue Growth Normalization: Revenue growth has decelerated sharply from 22.9% in FY 2023 to 2.8% in FY 2025, raising questions about the sustainability of top-line performance as the elevated interest rate environment normalizes and capital markets volatility subsides. Mitigant: Despite the deceleration, revenues reached a record $182.4 billion in FY 2025, and Q1 2026 net income of $16.5 billion suggests that profitability remains robust. The diversified revenue streams across consumer banking, commercial banking, corporate and investment banking, and asset management provide resilience against any single revenue source declining materially.</w:t>
      </w:r>
    </w:p>
    <w:p>
      <w:r>
        <w:rPr>
          <w:b w:val="0"/>
        </w:rPr>
        <w:t>Credit Risk Factor 3 — Capital Markets Issuance Burden: The filing of ten 424B2 prospectus supplements on May 14, 2026 indicates substantial ongoing debt issuance, which will increase interest expense and potentially pressure net interest margins. Mitigant: The ability to issue across multiple tranches on a single day reflects strong capital markets access and investor demand for JPM paper, which is itself a sign of creditworthiness. JPM's track record of managing its funding costs efficiently and its diversified funding sources across deposits, senior unsecured debt, subordinated debt, and preferred stock mitigate refinancing risk.</w:t>
      </w:r>
    </w:p>
    <w:p>
      <w:r>
        <w:rPr>
          <w:b w:val="0"/>
        </w:rPr>
        <w:t>Credit Risk Factor 4 — Concentration Risk in a Universal Banking Model: As a universal bank operating across consumer, commercial, and investment banking, JPM faces the risk of correlated losses across business lines during systemic stress events. Mitigant: The geographic and business line diversification evident in JPM's consistent quarterly earnings (single-quarter net income ranging from $14.4 billion to $15.0 billion across FY 2025 quarters) demonstrates the stabilizing effect of diversification. The firm's scale — $4.9 trillion in assets — provides a competitive moat that smaller institutions cannot replicate.</w:t>
      </w:r>
    </w:p>
    <w:p>
      <w:pPr>
        <w:pStyle w:val="Heading1"/>
      </w:pPr>
      <w:r>
        <w:t>Conclusion and Recommendation</w:t>
      </w:r>
    </w:p>
    <w:p>
      <w:r>
        <w:rPr>
          <w:b w:val="0"/>
        </w:rPr>
        <w:t>Based on our comprehensive analysis of JPMorgan Chase &amp; Co.'s financial performance, balance sheet strength, capital position, and risk profile, we maintain an internal credit rating of Investment Grade 2 (IG-2). This rating reflects the firm's very strong capacity to meet its financial obligations, supported by consistent profitability, a massive and diversified balance sheet, and continued access to debt capital markets.</w:t>
      </w:r>
    </w:p>
    <w:p>
      <w:r>
        <w:rPr>
          <w:b w:val="0"/>
        </w:rPr>
        <w:t>The rationale for this rating is anchored in several quantitative observations: revenues of $182.4 billion in FY 2025 with cumulative growth of 41.8% since FY 2022; full-year net income of $57.0 billion in FY 2025; Q1 2026 diluted EPS of $5.94 representing 17.2% year-over-year growth; stockholders' equity of $364.0 billion providing a substantial loss-absorption cushion; and total assets of $4.9 trillion demonstrating unmatched scale and market presence.</w:t>
      </w:r>
    </w:p>
    <w:p>
      <w:r>
        <w:rPr>
          <w:b w:val="0"/>
        </w:rPr>
        <w:t>Offsetting factors include the declining equity-to-assets ratio (from 8.61% to 7.43%), the decelerating revenue growth trend, and the active debt issuance signaled by the May 2026 424B2 filings. However, none of these factors individually or collectively represent a near-term credit impairment risk sufficient to warrant a downgrade below IG-2.</w:t>
      </w:r>
    </w:p>
    <w:p>
      <w:r>
        <w:rPr>
          <w:b w:val="0"/>
        </w:rPr>
        <w:t>We recommend that the credit committee affirm the IG-2 rating and place JPM on a stable outlook. We will continue to monitor the pace of balance sheet growth relative to capital accumulation and will reassess if the equity-to-assets ratio falls below 7.0% or if revenue growth turns negative for two consecutive quarters.</w:t>
      </w:r>
    </w:p>
    <w:p/>
    <w:p>
      <w:r>
        <w:t>Prepared by: Senior Credit Analyst, Financial Institutions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