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 - Caterpillar Inc</w:t>
      </w:r>
    </w:p>
    <w:p>
      <w:r>
        <w:rPr>
          <w:b/>
        </w:rPr>
        <w:t>TO:</w:t>
        <w:tab/>
      </w:r>
      <w:r>
        <w:t>Credit Committee</w:t>
      </w:r>
    </w:p>
    <w:p>
      <w:r>
        <w:rPr>
          <w:b/>
        </w:rPr>
        <w:t>FROM:</w:t>
        <w:tab/>
      </w:r>
      <w:r>
        <w:t>Corporate Lending Group - Credit Analysis Team</w:t>
      </w:r>
    </w:p>
    <w:p>
      <w:r>
        <w:rPr>
          <w:b/>
        </w:rPr>
        <w:t>DATE:</w:t>
        <w:tab/>
      </w:r>
      <w:r>
        <w:t>May 2026</w:t>
      </w:r>
    </w:p>
    <w:p>
      <w:r>
        <w:rPr>
          <w:b/>
        </w:rPr>
        <w:t>RE:</w:t>
        <w:tab/>
      </w:r>
      <w:r>
        <w:t>Caterpillar Inc. (CAT) - Proposed $500 Million Revolving Credit Facility</w:t>
      </w:r>
    </w:p>
    <w:p>
      <w:r>
        <w:t>________________________________________________________________________________</w:t>
      </w:r>
    </w:p>
    <w:p>
      <w:pPr>
        <w:pStyle w:val="Heading1"/>
      </w:pPr>
      <w:r>
        <w:t>Executive Summary</w:t>
      </w:r>
    </w:p>
    <w:p>
      <w:r>
        <w:rPr>
          <w:b w:val="0"/>
        </w:rPr>
        <w:t>We recommend approval of the proposed $500 million revolving credit facility for Caterpillar Inc. (NYSE: CAT) with a preliminary internal risk rating of 3 (on a 1-10 scale, where 1 represents the highest credit quality). This rating reflects Caterpillar's position as a global industrial leader with over $67 billion in annual revenues, a strong asset base exceeding $95 billion, and a demonstrated ability to generate robust operating income of $11.2 billion in FY2025. The company's diversified revenue streams across construction, mining, and energy sectors provide meaningful resilience against single-end-market downturns.</w:t>
      </w:r>
    </w:p>
    <w:p>
      <w:r>
        <w:rPr>
          <w:b w:val="0"/>
        </w:rPr>
        <w:t>Key credit strengths include the company's scale, brand recognition, and consistent profitability, with diluted EPS of $18.81 in FY2025 and $5.47 in Q1 2026. However, the rating is tempered by the capital-intensive nature of the business and the sensitivity of industrial equipment demand to macroeconomic cycles. The facility should be approved subject to standard leverage and interest coverage covenants consistent with the company's strong but cyclical earnings profile.</w:t>
      </w:r>
    </w:p>
    <w:p>
      <w:pPr>
        <w:pStyle w:val="Heading1"/>
      </w:pPr>
      <w:r>
        <w:t>Company Overview</w:t>
      </w:r>
    </w:p>
    <w:p>
      <w:r>
        <w:rPr>
          <w:b w:val="0"/>
        </w:rPr>
        <w:t>Caterpillar Inc. is classified in the Industrials sector and operates as one of the world's leading manufacturers of construction and mining equipment, diesel and natural gas engines, industrial turbines, and locomotives. The company has a global footprint and is a component of major market indices, reflecting its importance to the broader economy.</w:t>
      </w:r>
    </w:p>
    <w:p>
      <w:r>
        <w:rPr>
          <w:b w:val="0"/>
        </w:rPr>
        <w:t>As of FY2025, Caterpillar reported total revenues of $67.589 billion, positioning it among the largest industrial companies globally by revenue. The company's total assets stood at $98.585 billion at year-end FY2025, declining modestly to $95.550 billion as of Q1 2026. The company's scale provides significant competitive advantages in procurement, distribution, and R&amp;D investment, with FY2025 R&amp;D spending of $2.148 billion supporting its technology leadership.</w:t>
      </w:r>
    </w:p>
    <w:p>
      <w:r>
        <w:rPr>
          <w:b w:val="0"/>
        </w:rPr>
        <w:t>Caterpillar's business is inherently cyclical, tied to global infrastructure spending, mining activity, and energy markets. The company's Q1 2026 revenues of $17.415 billion represent the first quarter of the new fiscal year and demonstrate continued demand strength across its end markets. SG&amp;A expenses of $6.985 billion in FY2025 reflect the extensive global distribution and service network required to support equipment sales.</w:t>
      </w:r>
    </w:p>
    <w:p>
      <w:pPr>
        <w:pStyle w:val="Heading1"/>
      </w:pPr>
      <w:r>
        <w:t>Historical Financial Performance</w:t>
      </w:r>
    </w:p>
    <w:p>
      <w:r>
        <w:rPr>
          <w:b w:val="0"/>
        </w:rPr>
        <w:t>Caterpillar has demonstrated strong and consistent financial performance over the past three fiscal years. Net income grew from $10.335 billion in FY2023 to $10.792 billion in FY2024, an increase of 4.4%, before declining to $8.884 billion in FY2025, a decrease of 17.7% year-over-year. This decline warrants monitoring but does not fundamentally alter the company's credit profile given the magnitude of absolute earnings.</w:t>
      </w:r>
    </w:p>
    <w:p>
      <w:r>
        <w:rPr>
          <w:b w:val="0"/>
        </w:rPr>
        <w:t>Revenue trends show the company generating $67.589 billion in FY2025. The Q1 2026 revenue of $17.415 billion annualizes to approximately $69.7 billion, suggesting potential modest growth in the current fiscal year. The quarterly revenue data shows Q2 2025 at $30.818 billion (first half), Q3 2025 at $48.456 billion (first nine months), and Q4 2025 at $19.133 billion (fourth quarter), confirming steady demand throughout FY2025.</w:t>
      </w:r>
    </w:p>
    <w:p>
      <w:r>
        <w:rPr>
          <w:b w:val="0"/>
        </w:rPr>
        <w:t>Operating income reached $11.151 billion in FY2025, with Q1 2026 operating income of $3.085 billion representing a strong start to the year. The quarterly operating income trend shows resilience: Q1 2025 ($2.579 billion), Q2 2025 ($2.860 billion for the quarter), Q3 2025 ($3.052 billion for the quarter), and Q4 2025 ($2.660 billion, calculated as FY2025 total $11.151 billion less $8.491 billion through Q3). This quarterly stability supports the credit view.</w:t>
      </w:r>
    </w:p>
    <w:p>
      <w:r>
        <w:rPr>
          <w:b w:val="0"/>
        </w:rPr>
        <w:t>The table below summarizes key income statement metrics for the available fiscal years:</w:t>
        <w:br/>
        <w:br/>
        <w:t>| Metric | FY2022 | FY2023 | FY2024 | FY2025 |</w:t>
        <w:br/>
        <w:t>|---|---|---|---|---|</w:t>
        <w:br/>
        <w:t>| Net Income ($B) | $6.705 | $10.335 | $10.792 | $8.884 |</w:t>
        <w:br/>
        <w:t>| YoY Net Income Growth | N/A | 54.1% | 4.4% | -17.7% |</w:t>
        <w:br/>
        <w:t>| Diluted EPS | N/A | N/A | N/A | $18.81 |</w:t>
        <w:br/>
        <w:t>| Operating Income ($B) | N/A | N/A | N/A | $11.151 |</w:t>
        <w:br/>
        <w:t>| R&amp;D Expense ($B) | N/A | N/A | N/A | $2.148 |</w:t>
      </w:r>
    </w:p>
    <w:p>
      <w:pPr>
        <w:pStyle w:val="Heading1"/>
      </w:pPr>
      <w:r>
        <w:t>Leverage and Balance Sheet Analysis</w:t>
      </w:r>
    </w:p>
    <w:p>
      <w:r>
        <w:rPr>
          <w:b w:val="0"/>
        </w:rPr>
        <w:t>Caterpillar's balance sheet reflects the capital-intensive nature of its operations, with total assets of $95.550 billion and total liabilities of $76.890 billion as of Q1 2026. The liability-to-asset ratio has remained relatively stable over the past four quarters, ranging from approximately 78% to 81%, indicating a consistently leveraged capital structure typical of large industrial companies with significant financial services operations.</w:t>
      </w:r>
    </w:p>
    <w:p>
      <w:r>
        <w:rPr>
          <w:b w:val="0"/>
        </w:rPr>
        <w:t>The quarterly liability-to-asset ratio trend is as follows: Q2 2025 (71,662/90,325 = 79.3%), Q3 2025 (73,063/93,722 = 78.0%), FY2025 year-end (77,267/98,585 = 78.4%), and Q1 2026 (76,890/95,550 = 80.5%). The modest uptick in Q1 2026 reflects seasonal patterns in working capital and should be monitored but does not represent a material deterioration in credit quality.</w:t>
      </w:r>
    </w:p>
    <w:p>
      <w:r>
        <w:rPr>
          <w:b w:val="0"/>
        </w:rPr>
        <w:t>Cash and cash equivalents declined significantly from $9.980 billion at FY2025 year-end to $4.072 billion in Q1 2026, a reduction of $5.908 billion. This drawdown likely reflects seasonal working capital demands, capital expenditures, or shareholder returns. While the absolute level of $4.072 billion remains adequate for near-term obligations, the magnitude of the decline merits further investigation into capital allocation decisions.</w:t>
      </w:r>
    </w:p>
    <w:p>
      <w:r>
        <w:rPr>
          <w:b w:val="0"/>
        </w:rPr>
        <w:t>The table below summarizes quarterly balance sheet metrics:</w:t>
        <w:br/>
        <w:br/>
        <w:t>| Period | Total Assets ($B) | Total Liabilities ($B) | L/A Ratio | Cash ($B) |</w:t>
        <w:br/>
        <w:t>|---|---|---|---|---|</w:t>
        <w:br/>
        <w:t>| Q2 2025 | $90.325 | $71.662 | 79.3% | $5.442 |</w:t>
        <w:br/>
        <w:t>| Q3 2025 | $93.722 | $73.063 | 78.0% | $7.538 |</w:t>
        <w:br/>
        <w:t>| FY2025 | $98.585 | $77.267 | 78.4% | $9.980 |</w:t>
        <w:br/>
        <w:t>| Q1 2026 | $95.550 | $76.890 | 80.5% | $4.072 |</w:t>
      </w:r>
    </w:p>
    <w:p>
      <w:pPr>
        <w:pStyle w:val="Heading1"/>
      </w:pPr>
      <w:r>
        <w:t>Profitability and Expense Analysis</w:t>
      </w:r>
    </w:p>
    <w:p>
      <w:r>
        <w:rPr>
          <w:b w:val="0"/>
        </w:rPr>
        <w:t>Caterpillar's profitability metrics demonstrate solid operational efficiency. The operating margin for FY2025 was 16.5% ($11.151 billion operating income divided by $67.589 billion revenue), while Q1 2026 achieved an operating margin of 17.7% ($3.085 billion divided by $17.415 billion). The improvement in Q1 2026 operating margin suggests continued operational discipline and favorable product mix.</w:t>
      </w:r>
    </w:p>
    <w:p>
      <w:r>
        <w:rPr>
          <w:b w:val="0"/>
        </w:rPr>
        <w:t>R&amp;D expenditure totaled $2.148 billion in FY2025, or approximately 3.2% of revenue, reflecting Caterpillar's commitment to technology leadership. Q1 2026 R&amp;D spending of $537 million represents a meaningful increase from Q1 2025's $480 million, signaling continued investment in next-generation products. This level of R&amp;D investment supports long-term competitiveness but also represents a fixed cost that could pressure margins during revenue downturns.</w:t>
      </w:r>
    </w:p>
    <w:p>
      <w:r>
        <w:rPr>
          <w:b w:val="0"/>
        </w:rPr>
        <w:t>SG&amp;A expenses of $6.985 billion in FY2025 represent 10.3% of revenue, reflecting the cost of maintaining Caterpillar's extensive global dealer network and corporate infrastructure. Q1 2026 SG&amp;A of $1.816 billion is elevated compared to Q1 2025's $1.593 billion, which may reflect inflationary pressures or strategic investments. The combination of R&amp;D and SG&amp;A spending totaling $9.133 billion in FY2025 (13.5% of revenue) indicates a well-invested but cost-heavy business model that requires scale to generate adequate returns.</w:t>
      </w:r>
    </w:p>
    <w:p>
      <w:pPr>
        <w:pStyle w:val="Heading1"/>
      </w:pPr>
      <w:r>
        <w:t>Credit Risk Assessment</w:t>
      </w:r>
    </w:p>
    <w:p>
      <w:r>
        <w:rPr>
          <w:b w:val="0"/>
        </w:rPr>
        <w:t>Three primary credit risks warrant attention in evaluating this facility. First, macroeconomic cyclicality represents the most significant risk factor. Caterpillar's revenues are heavily tied to global construction, mining, and energy infrastructure spending, which are inherently cyclical. The decline in net income from $10.792 billion in FY2024 to $8.884 billion in FY2025 (a 17.7% decrease) demonstrates the company's sensitivity to economic cycles. A prolonged global recession could materially impair the company's ability to service debt obligations.</w:t>
      </w:r>
    </w:p>
    <w:p>
      <w:r>
        <w:rPr>
          <w:b w:val="0"/>
        </w:rPr>
        <w:t>Second, the company's leverage profile presents moderate credit risk. With a liability-to-asset ratio of 80.5% as of Q1 2026 and total liabilities of $76.890 billion, Caterpillar operates with meaningful financial leverage. While this is partially attributable to the company's captive finance subsidiary, which inherently carries higher leverage, it reduces financial flexibility during downturns. The significant decline in cash from $9.980 billion to $4.072 billion between FY2025 and Q1 2026 further illustrates the volatility of the company's liquidity position.</w:t>
      </w:r>
    </w:p>
    <w:p>
      <w:r>
        <w:rPr>
          <w:b w:val="0"/>
        </w:rPr>
        <w:t>Third, capital intensity and margin compression risk require monitoring. The company's R&amp;D and SG&amp;A expenses totaled $9.133 billion in FY2025, representing substantial fixed costs. Should revenue decline materially, these costs would pressure operating margins. Additionally, the Q1 2026 operating margin of 17.7% could face headwinds from raw material cost inflation, tariff-related disruptions, or competitive pricing pressure from rivals such as Deere and Komatsu. The diluted EPS trajectory from $18.81 in FY2025 to $5.47 in Q1 2026 should be interpreted cautiously given seasonal earnings patterns.</w:t>
      </w:r>
    </w:p>
    <w:p>
      <w:pPr>
        <w:pStyle w:val="Heading1"/>
      </w:pPr>
      <w:r>
        <w:t>Conclusion and Recommendation</w:t>
      </w:r>
    </w:p>
    <w:p>
      <w:r>
        <w:rPr>
          <w:b w:val="0"/>
        </w:rPr>
        <w:t>Based on our comprehensive analysis, we recommend conditional approval of the $500 million revolving credit facility for Caterpillar Inc. The facility should be priced at a spread appropriate for investment-grade industrial credits, subject to the following conditions: (1) a maximum total leverage ratio covenant, (2) a minimum interest coverage ratio of 3.0x, and (3) a minimum liquidity covenant requiring unrestricted cash of at least $2.0 billion.</w:t>
      </w:r>
    </w:p>
    <w:p>
      <w:r>
        <w:rPr>
          <w:b w:val="0"/>
        </w:rPr>
        <w:t>This recommendation is supported by Caterpillar's strong market position with $67.589 billion in FY2025 revenues, robust operating income of $11.151 billion, and consistent profitability evidenced by $8.884 billion in net income. The company's preliminary risk rating of 3 reflects these strengths, balanced against cyclical exposure and leverage considerations. The Q1 2026 operating margin of 17.7% and annualized EPS trajectory suggest continued fundamental strength.</w:t>
      </w:r>
    </w:p>
    <w:p>
      <w:r>
        <w:rPr>
          <w:b w:val="0"/>
        </w:rPr>
        <w:t>The conditional nature of our recommendation reflects the need for enhanced covenant protections given the volatility in cash balances (declining from $9.980 billion to $4.072 billion) and the potential for earnings cyclicality to pressure coverage ratios. We recommend quarterly financial reporting requirements and an annual facility review to ensure ongoing alignment with the company's credit profile. Caterpillar's scale, brand strength, and diversified end-market exposure make it a suitable borrower for the proposed facility, warranting a relationship-oriented pricing approach consistent with the company's strategic importance to the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