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Legal Memo - United States v. Kimble</w:t>
      </w:r>
    </w:p>
    <w:p>
      <w:r>
        <w:rPr>
          <w:b/>
        </w:rPr>
        <w:t>TO:</w:t>
        <w:tab/>
      </w:r>
      <w:r>
        <w:t>Supervising Partner</w:t>
      </w:r>
    </w:p>
    <w:p>
      <w:r>
        <w:rPr>
          <w:b/>
        </w:rPr>
        <w:t>FROM:</w:t>
        <w:tab/>
      </w:r>
      <w:r>
        <w:t>Senior Associate</w:t>
      </w:r>
    </w:p>
    <w:p>
      <w:r>
        <w:rPr>
          <w:b/>
        </w:rPr>
        <w:t>DATE:</w:t>
        <w:tab/>
      </w:r>
      <w:r>
        <w:t>July 2025</w:t>
      </w:r>
    </w:p>
    <w:p>
      <w:r>
        <w:rPr>
          <w:b/>
        </w:rPr>
        <w:t>RE:</w:t>
        <w:tab/>
      </w:r>
      <w:r>
        <w:t>Analysis of Second Amendment Challenge to § 922(g)(1) for Drug-Trafficking Felonies — United States v. Kimble, 142 F.4th 308 (5th Cir. 2025)</w:t>
      </w:r>
    </w:p>
    <w:p>
      <w:r>
        <w:t>________________________________________________________________________________</w:t>
      </w:r>
    </w:p>
    <w:p>
      <w:pPr>
        <w:pStyle w:val="Heading2"/>
      </w:pPr>
      <w:r>
        <w:t>I. Two-Step Second Amendment Analytical Framework</w:t>
      </w:r>
    </w:p>
    <w:p>
      <w:r>
        <w:rPr>
          <w:b w:val="0"/>
        </w:rPr>
        <w:t>The Supreme Court's decision in New York State Rifle &amp; Pistol Ass'n v. Bruen, 597 U.S. 1 (2022), established the governing framework for Second Amendment challenges that the Fifth Circuit applied in United States v. Kimble. Under this framework, courts employ a two-step analysis. First, the court asks "whether the Second Amendment's plain text covers the behavior the government seeks to regulate," in which case the Constitution "presumptively protects that conduct." Kimble, 142 F.4th at 312 (quoting Bruen, 597 U.S. at 24). Second, if the individual's actions are covered by the amendment's text, "[t]he government must then justify its regulation by demonstrating that it is consistent with the Nation's historical tradition of firearm regulation." Id. (quoting Bruen, 597 U.S. at 24). Only if the government meets that burden may a court conclude that the individual's conduct falls outside the Second Amendment's protection.</w:t>
      </w:r>
    </w:p>
    <w:p>
      <w:r>
        <w:rPr>
          <w:b w:val="0"/>
        </w:rPr>
        <w:t>The Supreme Court reaffirmed this framework in United States v. Rahimi, 602 U.S. 680 (2024), which the Fifth Circuit cited in Kimble. See 142 F.4th at 312 n.3. In Rahimi, the Court clarified that the government need not identify a "historical twin" to justify a modern regulation; instead, multiple historical analogues "[t]aken together" can demonstrate sufficient analogy to satisfy the Bruen test. Kimble, 142 F.4th at 312 n.3 (quoting Rahimi, 602 U.S. at 698–99).</w:t>
      </w:r>
    </w:p>
    <w:p>
      <w:r>
        <w:rPr>
          <w:b w:val="0"/>
        </w:rPr>
        <w:t>As applied in Kimble, the court determined that the first step of the Bruen framework was satisfied because "[t]he plain text of the Second Amendment covers the conduct prohibited by § 922(g)(1)," and convicted felons are "unequivocally among 'the people' protected by the Second Amendment." 142 F.4th at 312 (quoting United States v. Diaz, 116 F.4th 458, 466–67 (5th Cir. 2024)). The burden thus shifted to the government to demonstrate that disarming an individual based on his felon status is "consistent with the Nation's historical tradition." Id.</w:t>
      </w:r>
    </w:p>
    <w:p>
      <w:r>
        <w:rPr>
          <w:b w:val="0"/>
        </w:rPr>
        <w:t>For evaluating the government's proffered historical analogues, the Fifth Circuit applied the "why" and "how" test articulated in United States v. Daniels, 124 F.4th 967, 973 (5th Cir. 2025). Under this test, historical laws must be "relevantly similar" to the modern regulation, meaning they must both (1) "address a comparable problem" (the "why") and (2) "place a comparable burden on the right-holder" (the "how"). Kimble, 142 F.4th at 315 (quoting Daniels, 124 F.4th at 973). This analogical inquiry "requires the exercise of both analogical reasoning and sound judgment." Id. (quoting United States v. Connelly, 117 F.4th 269, 274 (5th Cir. 2024)).</w:t>
      </w:r>
    </w:p>
    <w:p>
      <w:pPr>
        <w:pStyle w:val="Heading2"/>
      </w:pPr>
      <w:r>
        <w:t>II. Three Categories of Offenses Supporting § 922(g)(1) Convictions</w:t>
      </w:r>
    </w:p>
    <w:p>
      <w:r>
        <w:rPr>
          <w:b w:val="0"/>
        </w:rPr>
        <w:t>Prior to Kimble, the Fifth Circuit had recognized three categories of predicate offenses that would cause a defendant's as-applied challenge to § 922(g)(1) to fail under the post-Bruen framework. The court in Kimble summarized these categories as follows: "if a defendant's predicate felony involves theft or violence, his as-applied challenge to § 922(g)(1) will fail. Similarly, if a defendant is caught possessing a gun while out on supervised release for a prior felony sentence, his as-applied challenge will also fail." 142 F.4th at 314.</w:t>
      </w:r>
    </w:p>
    <w:p>
      <w:r>
        <w:rPr>
          <w:b w:val="0"/>
        </w:rPr>
        <w:t>The first category, theft offenses, was established in United States v. Diaz, 116 F.4th 458 (5th Cir. 2024). In Diaz, the defendant had a felony conviction for vehicle theft. The court held that his as-applied challenge failed because "Founding-era analogues to Diaz's predicate felony such as horse theft were subject to the death penalty," conveying that "our country has a historical tradition of severely punishing people like Diaz who have been convicted of theft." Kimble, 142 F.4th at 313 (quoting Diaz, 116 F.4th at 468–69). The court reasoned that the lesser punishment of lifelong disarmament imposed by § 922(g)(1) therefore accorded with the Second Amendment. Id. (citing Diaz, 116 F.4th at 469–70).</w:t>
      </w:r>
    </w:p>
    <w:p>
      <w:r>
        <w:rPr>
          <w:b w:val="0"/>
        </w:rPr>
        <w:t>The second category, violent offenses, was addressed in United States v. Schnur, 132 F.4th 863 (5th Cir. 2025). There, the defendant's predicate felonies included "aggravated battery causing great bodily injury." Kimble, 142 F.4th at 314 (quoting Schnur, 132 F.4th at 868). The court upheld the conviction because "our caselaw suggests that there are historical analogues demonstrating our Nation's longstanding tradition of disarming persons with a violent criminal history analogous to Schnur's." Id. (quoting Schnur, 132 F.4th at 869). The court held that "Schnur's felony conviction for a 'crime of violence' indicates that he poses a threat to public safety and the orderly functioning of society." Id. (quoting Schnur, 132 F.4th at 870).</w:t>
      </w:r>
    </w:p>
    <w:p>
      <w:r>
        <w:rPr>
          <w:b w:val="0"/>
        </w:rPr>
        <w:t>The third category, possessing a firearm while still serving a sentence, was addressed in United States v. Giglio, 126 F.4th 1039 (5th Cir. 2025). In Giglio, the court upheld a § 922(g)(1) conviction where the defendant was found armed while still serving his sentence on supervised release. The court reasoned that, historically, "convicts could be required to forfeit their weapons and were prevented from reacquiring arms until they had finished serving their sentences." Kimble, 142 F.4th at 314 (quoting Giglio, 126 F.4th at 1044). The court also cited United States v. Contreras, 125 F.4th 725, 732–33 (5th Cir. 2025), as supporting this principle. Id.</w:t>
      </w:r>
    </w:p>
    <w:p>
      <w:r>
        <w:rPr>
          <w:b w:val="0"/>
        </w:rPr>
        <w:t>Kimble raised the novel question of whether a predicate drug-trafficking felony—which does not fit neatly into the theft, violence, or supervised-release categories—justifies permanent disarmament under § 922(g)(1) even after the defendant has served his full sentence. The court emphasized that it must "hold the government to its heavy burden of showing that our history supports Kimble's lifetime disarmament under (g)(1), because the Second Amendment 'is not a second-class right.'" 142 F.4th at 314 (quoting Bruen, 597 U.S. at 70).</w:t>
      </w:r>
    </w:p>
    <w:p>
      <w:pPr>
        <w:pStyle w:val="Heading2"/>
      </w:pPr>
      <w:r>
        <w:t>III. Rejection of the Government's Founding-Era Analogy</w:t>
      </w:r>
    </w:p>
    <w:p>
      <w:r>
        <w:rPr>
          <w:b w:val="0"/>
        </w:rPr>
        <w:t>The government's first theory was that Kimble's predicate drug-trafficking felonies were analogous to Founding-era felonies punishable by death or estate forfeiture, and therefore § 922(g)(1)'s permanent disarmament was consistent with history. Under United States v. Diaz, 116 F.4th at 469–70, the Fifth Circuit had held that if a felon's predicate offense "would have led to capital punishment or estate forfeiture" at the Founding, then § 922(g)(1)'s permanent disarmament "fits within this tradition of serious and permanent punishment." Kimble, 142 F.4th at 315.</w:t>
      </w:r>
    </w:p>
    <w:p>
      <w:r>
        <w:rPr>
          <w:b w:val="0"/>
        </w:rPr>
        <w:t>The government invoked three specific historical statutes. First, a 1748 Virginia statute providing that any person who "shall receive, or buy, any horse that shall be feloniously taken, or stolen, from any other person, knowing the same to be stolen" shall "suffer the pain of death, as a felon convict." Kimble, 142 F.4th at 315–16 n.5 (quoting 6 William Waller Hening, The Statutes at Large, p. 130 (1819)). Second, the Federal Post Office Act of 1792, which provided that "if any person or persons shall rob any carrier of the mail of the United States" they "shall, on conviction thereof, suffer death." Id. at 316 n.6 (quoting 1 Stat. 232, 237 (1792)). Third, the Federal Crimes Act of 1790, which punished counterfeiting or forgery of public securities with death, and New York and Virginia laws punishing counterfeiting with estate forfeiture, hard labor, and branding. Id. at 316 n.7.</w:t>
      </w:r>
    </w:p>
    <w:p>
      <w:r>
        <w:rPr>
          <w:b w:val="0"/>
        </w:rPr>
        <w:t>The government argued that these laws "establish a historical tradition of severely punishing people convicted of crimes involving the creation, possession, or distribution of illicit goods." Kimble, 142 F.4th at 316. The court acknowledged that the government's proposed historical laws satisfied the "how" inquiry under Diaz because those laws "achieved their goals by permanently punishing offenders, as does § 922(g)(1)." Id. (quoting Diaz, 116 F.4th at 469).</w:t>
      </w:r>
    </w:p>
    <w:p>
      <w:r>
        <w:rPr>
          <w:b w:val="0"/>
        </w:rPr>
        <w:t>However, the court rejected the government's argument because the proffered historical analogues failed the "why" test. The court examined the purpose of the laws underlying Kimble's predicate offenses: the Texas Controlled Substances Act, enacted in 1973, has the purpose "to prevent drug trafficking and drug dealing" (citing One 1980 Pontiac v. State, 707 S.W.2d 881, 882 (Tex. 1986)), and the federal Controlled Substances Act's "main objectives" include "to control the legitimate and illegitimate traffic in controlled substances" (citing Gonzales v. Raich, 545 U.S. 1, 12 (2005)). Kimble, 142 F.4th at 316. The "problem" the drug-trafficking laws seek to address is thus "the use and sale of addictive drugs." Id.</w:t>
      </w:r>
    </w:p>
    <w:p>
      <w:r>
        <w:rPr>
          <w:b w:val="0"/>
        </w:rPr>
        <w:t>By contrast, the historical laws invoked by the government—"colonial Virginia's law making it a felony knowingly to receive a stolen horse, and other laws punishing mail theft and counterfeiting with death or estate forfeiture—all concern theft, fraud, or deceit." Kimble, 142 F.4th at 317. The government argued that both modern and historical laws share the common goal of "eliminating traffic in illicit goods," but the court found this formulation depends on "engaging in an unduly high level of generality." Id. The court warned that under the government's theory, "Congress could outlaw the possession of any quotidian object and then claim that all those caught possessing it lose their Second Amendment rights forever." Id.</w:t>
      </w:r>
    </w:p>
    <w:p>
      <w:r>
        <w:rPr>
          <w:b w:val="0"/>
        </w:rPr>
        <w:t>The court quoted Justice Barrett's concurrence in Rahimi for the principle that courts "must be careful not to read a principle at such a high level of generality that it waters down the right." Kimble, 142 F.4th at 317 (quoting Rahimi, 602 U.S. at 740 (Barrett, J., concurring)). It also cited its own precedent that "a shifting benchmark" such as possession of any item deemed illicit "should not define the limits of the Second Amendment." Id. (quoting Diaz, 116 F.4th at 469). The court concluded that the government's contention that historical laws severely punishing recipients of stolen goods or counterfeit securities justify lifetime disarmament for individuals convicted of selling illicit drugs "stretches the analogical reasoning prescribed by Bruen and Rahimi too far." Id. (citing Connelly, 117 F.4th at 282).</w:t>
      </w:r>
    </w:p>
    <w:p>
      <w:pPr>
        <w:pStyle w:val="Heading2"/>
      </w:pPr>
      <w:r>
        <w:t>IV. Acceptance of the Intrinsic Danger of Drug Trafficking</w:t>
      </w:r>
    </w:p>
    <w:p>
      <w:r>
        <w:rPr>
          <w:b w:val="0"/>
        </w:rPr>
        <w:t>The government's second theory, which the court accepted, was that "the nation's history establishes a tradition of disarming those whose past criminal conduct evinces a special danger of misusing firearms." Kimble, 142 F.4th at 317. The court held that "[t]he Second Amendment allows Congress to disarm classes of people it reasonably deems dangerous, and § 922(g)(1)'s prohibition on gun possession by individuals convicted of drug-trafficking felonies enacts such a disarmament regime consistent with Bruen's 'why' and 'how' test." Id.</w:t>
      </w:r>
    </w:p>
    <w:p>
      <w:r>
        <w:rPr>
          <w:b w:val="0"/>
        </w:rPr>
        <w:t>The court grounded this holding in the historical practice of categorical disarmament of dangerous persons. Citing United States v. Williams, 113 F.4th 637, 657 (6th Cir. 2024), the court noted that "[g]overnments in England and colonial America long disarmed groups that they deemed to be dangerous." Kimble, 142 F.4th at 317. The court further cited United States v. Connelly, 117 F.4th at 278, for the proposition that the "undeniably throughline" in our nation's history is that "Founding-era governments took guns away from those perceived to be dangerous." Id. Additionally, "history and tradition support Congress's power to strip certain groups of" the right to bear arms. Id. (quoting Kanter v. Barr, 919 F.3d 437, 452 (7th Cir. 2019) (Barrett, J., dissenting)).</w:t>
      </w:r>
    </w:p>
    <w:p>
      <w:r>
        <w:rPr>
          <w:b w:val="0"/>
        </w:rPr>
        <w:t>The government invoked English laws disarming political and religious dissidents and American statements and practices suggesting dangerous individuals could lose their Second Amendment rights, much of the same evidence previously considered in Connelly. Kimble, 142 F.4th at 318. The court acknowledged that in Connelly, it had rejected those analogies as applied to marijuana users because they were not "dangerous" for reasons comparable to those targeted by the government's proffered analogues. Id. However, the court found that "the government's analogues are a closer fit for drug traffickers than for occasional drug users." Id.</w:t>
      </w:r>
    </w:p>
    <w:p>
      <w:r>
        <w:rPr>
          <w:b w:val="0"/>
        </w:rPr>
        <w:t>The court cited both English and American historical sources. English history suggested that while "good subjects" retained their rights, those judged "dangerous to the Peace of the Kingdom" could be disarmed. Kimble, 142 F.4th at 319 n.14. American colonial law similarly empowered officials to "take from such Persons as they shall judge disaffected and dangerous to the present Government, all the Arms, Accoutrements and Ammunition which they own or possess." Id. at 319 n.15 (quoting the New Jersey Council of Safety Act of 1777). The court also cited Justice Barrett's observation in Kanter that the Pennsylvania and Massachusetts ratifying conventions reflected the understanding that categorical exclusions from the right to bear arms were "about threatened violence and the risk of public injury." Id. at 319 (quoting Kanter, 919 F.3d at 456 (Barrett, J., dissenting)).</w:t>
      </w:r>
    </w:p>
    <w:p>
      <w:r>
        <w:rPr>
          <w:b w:val="0"/>
        </w:rPr>
        <w:t>Turning to modern case law, the court cited extensive authority supporting the conclusion that drug trafficking is inherently dangerous. The Supreme Court has "long recognized 'that drugs and guns are a dangerous combination.'" Kimble, 142 F.4th at 320 (quoting Smith v. United States, 508 U.S. 223, 240 (1993)). The Fifth Circuit in United States v. Yanez Sosa, 513 F.3d 194, 202 (5th Cir. 2008), credited testimony that "drugs and guns are commonly found together and that drug dealers use guns to protect their business because of the inherent violence of the trade." Id. Other circuits have similarly acknowledged that "drug dealing is notoriously linked to violence," including the First Circuit in United States v. Torres-Rosario, 658 F.3d 110, 113 (1st Cir. 2011). Id. The court also cited Justice Kennedy's separate opinion in Harmelin v. Michigan, 501 U.S. 957, 1002 (1991), calling the contention that drug-trafficking crimes are "nonviolent and victimless" "false to the point of absurdity." Id.</w:t>
      </w:r>
    </w:p>
    <w:p>
      <w:r>
        <w:rPr>
          <w:b w:val="0"/>
        </w:rPr>
        <w:t>The court also relied on the legislative history of 18 U.S.C. § 924(c). In 1986, Congress added the term "drug trafficking crime" to that provision "to enhance the ability of law enforcement to fight violent crime and narcotics trafficking." Kimble, 142 F.4th at 321 (quoting H.R. Rep. No. 99-495, at 1 (1986)). Prior to that amendment, the provision referenced only "a crime of violence," and the White House requested that Congress "amend the language of [18 U.S.C.] § 924 to include drug crimes in light of the fact that criminals involved in drug trafficking may often carry or use firearms during the commission of drug-related felonies." Id. (quoting Lynn Marsella, Something About Carry, 89 J. Crim. L. &amp; Criminology 973, 975 (1999)). Congress complied, and courts understood the amended law as "an effort to combat the dangerous combination of drugs and guns." Id. (quoting Muscarello v. United States, 524 U.S. 125, 132 (1998)).</w:t>
      </w:r>
    </w:p>
    <w:p>
      <w:r>
        <w:rPr>
          <w:b w:val="0"/>
        </w:rPr>
        <w:t>Based on this extensive authority, the court concluded that "the Legislative, Executive, and Judicial Branches agree that drug trafficking is an inherently dangerous activity, and Congress has responded to that threat by disarming convicted drug traffickers via § 922(g)(1)." Kimble, 142 F.4th at 322. Because Kimble's predicate felony conviction "indicates that he poses a threat to public safety and the orderly functioning of society," his § 922(g)(1) conviction was "consistent with this Nation's historical tradition of firearm regulation and punishment of people who have been convicted of violent offenses." Id. (quoting Schnur, 132 F.4th at 870). The court explicitly limited its holding: "Kimble's conviction accords with the Second Amendment because Congress can categorically disarm individuals convicted of violent felonies like drug trafficking. That conclusion does not depend on an individualized assessment that Kimble is dangerous." Id. at 322.</w:t>
      </w:r>
    </w:p>
    <w:p>
      <w:pPr>
        <w:pStyle w:val="Heading2"/>
      </w:pPr>
      <w:r>
        <w:t>V. Disagreement Between the Majority and the Concurrence</w:t>
      </w:r>
    </w:p>
    <w:p>
      <w:r>
        <w:rPr>
          <w:b w:val="0"/>
        </w:rPr>
        <w:t>Judge James E. Graves, Jr., filed a concurrence in part and in the judgment, agreeing that Kimble's conviction should be affirmed based on the specific facts but disagreeing with the majority's categorical approach to disarming drug traffickers without an individualized assessment of dangerousness. Graves concurrence at 18 (page references to the opinion). The core disagreement concerns whether courts must conduct an individualized assessment of a defendant's dangerousness in an as-applied challenge to § 922(g)(1), or whether categorical disarmament based on the predicate conviction alone is sufficient.</w:t>
      </w:r>
    </w:p>
    <w:p>
      <w:r>
        <w:rPr>
          <w:b w:val="0"/>
        </w:rPr>
        <w:t>Judge Graves criticized the majority's reliance on pre-Bruen cases as support for the proposition that drug trafficking is categorically dangerous. He examined each case cited by the majority and argued that most involved situations where drugs and guns were actually present together, rather than cases addressing whether a prior drug-trafficking conviction alone justifies permanent disarmament. Graves concurrence at 18–21. For example, he noted that Smith v. United States, 508 U.S. 223 (1993), involved the trade of an automatic weapon for cocaine, and the "significant factor was a gun's actual role in a drug trafficking offense." Id. at 19. Similarly, United States v. Yanez Sosa, 513 F.3d 194 (5th Cir. 2008), involved possession of firearms in furtherance of a drug trafficking crime, and the court reiterated that "[t]he critical question, therefore, is whether a particular defendant possessed the firearm in furtherance of the drug trafficking offense, not whether drug dealers generally use guns." Id. at 19 (quoting Yanez Sosa, 513 F.3d at 202).</w:t>
      </w:r>
    </w:p>
    <w:p>
      <w:r>
        <w:rPr>
          <w:b w:val="0"/>
        </w:rPr>
        <w:t>Graves also pointed to the Sixth Circuit's decision in United States v. Williams, 113 F.4th 637 (6th Cir. 2024), which the majority had cited, to argue that even that court required an individualized showing. He quoted Williams for the proposition that "each member of that disarmed group has an opportunity to make an individualized showing that he himself is not actually dangerous." Graves concurrence at 21 (quoting Williams, 113 F.4th at 663). Graves noted that the Sixth Circuit stated that "district courts should make fact-specific dangerousness determinations after taking account of the unique circumstances of the individual, including details of his specific conviction." Id. at 22 (quoting Williams, 113 F.4th at 663). Additionally, Graves referenced the Third Circuit's decision in Pitsilides v. Barr, 128 F.4th 203, 211–12 (3d Cir. 2025), which the majority explicitly rejected, as another circuit requiring courts to "look beyond" a defendant's predicate conviction. Id. at 22.</w:t>
      </w:r>
    </w:p>
    <w:p>
      <w:r>
        <w:rPr>
          <w:b w:val="0"/>
        </w:rPr>
        <w:t>Judge Graves further argued that there is no principled basis for the majority's categorical distinction between drug users and drug traffickers. He observed that "[t]ypically, the determination of whether an offense is possession or possession with intent simply comes down to the amount of drugs," and that "[t]here is no basis for a conclusion that drug users and possessors are categorically not 'intrinsically dangerous' but drug possessors with intent categorically are 'intrinsically dangerous.'" Graves concurrence at 24. He offered the hypothetical of "a young person, who has never been violent and was not armed, accepted a job to drive a car from one location to another without knowing it contained a hidden compartment full of drugs," who "could then be disarmed for life without any chance of ever proving he was not a danger." Id. This disparity, in Graves's view, demonstrated the need for individualized assessment.</w:t>
      </w:r>
    </w:p>
    <w:p>
      <w:r>
        <w:rPr>
          <w:b w:val="0"/>
        </w:rPr>
        <w:t>The concurrence also criticized the majority's statement that the relevant consideration is simply the defendant's "prior convictions that are punishable by imprisonment for a term exceeding one year." Graves concurrence at 22 (quoting the majority at 322). Graves argued that in United States v. Diaz, 116 F.4th 458, 467 (5th Cir. 2024), the court "was merely quoting the relevant statute in the initial determination of whether there was a historical analogue" and "said nothing about unproven or prior conduct, and it was not assessing whether Diaz was dangerous." Id. He thus concluded that the majority's categorical approach was unsupported by the authorities it cited and represented a significant departure from the as-applied framework that post-Bruen precedent demands.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