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People v. Angela VV. Analysis</w:t>
      </w:r>
    </w:p>
    <w:p>
      <w:r>
        <w:rPr>
          <w:b/>
        </w:rPr>
        <w:t>TO:</w:t>
        <w:tab/>
      </w:r>
      <w:r>
        <w:t>Managing Partner</w:t>
      </w:r>
    </w:p>
    <w:p>
      <w:r>
        <w:rPr>
          <w:b/>
        </w:rPr>
        <w:t>FROM:</w:t>
        <w:tab/>
      </w:r>
      <w:r>
        <w:t>Senior Associate</w:t>
      </w:r>
    </w:p>
    <w:p>
      <w:r>
        <w:rPr>
          <w:b/>
        </w:rPr>
        <w:t>DATE:</w:t>
        <w:tab/>
      </w:r>
      <w:r>
        <w:t>[Current Date]</w:t>
      </w:r>
    </w:p>
    <w:p>
      <w:r>
        <w:rPr>
          <w:b/>
        </w:rPr>
        <w:t>RE:</w:t>
        <w:tab/>
      </w:r>
      <w:r>
        <w:t>People v. Angela VV. (2025 NY Slip Op 03644) – Analysis of DVSJA Resentencing and Prospects for Leave Application</w:t>
      </w:r>
    </w:p>
    <w:p>
      <w:r>
        <w:t>________________________________________________________________________________</w:t>
      </w:r>
    </w:p>
    <w:p>
      <w:pPr>
        <w:pStyle w:val="Heading1"/>
      </w:pPr>
      <w:r>
        <w:t>MEMORANDUM</w:t>
      </w:r>
    </w:p>
    <w:p>
      <w:r>
        <w:rPr>
          <w:b w:val="0"/>
        </w:rPr>
        <w:t>To: Managing Partner</w:t>
        <w:br/>
        <w:t>From: Senior Associate</w:t>
        <w:br/>
        <w:t>Date: [Current Date]</w:t>
        <w:br/>
        <w:t>Re: People v. Angela VV. (2025 NY Slip Op 03644) – Analysis of DVSJA Resentencing and Prospects for Leave Application</w:t>
        <w:br/>
        <w:br/>
        <w:t>LEGAL MEMORANDUM</w:t>
      </w:r>
    </w:p>
    <w:p>
      <w:pPr>
        <w:pStyle w:val="Heading2"/>
      </w:pPr>
      <w:r>
        <w:t>Question Presented</w:t>
      </w:r>
    </w:p>
    <w:p>
      <w:r>
        <w:rPr>
          <w:b w:val="0"/>
        </w:rPr>
        <w:t>Whether the New York Court of Appeals' decision in People v. Angela VV., 2025 NY Slip Op 03644 (N.Y. Ct. App. June 17, 2025), which affirmed the denial of resentencing under the Domestic Violence Survivors Justice Act (DVSJA), forecloses the possibility of a successful leave application for a similarly situated client whose DVSJA application was also denied by the trial court and affirmed by the Appellate Division.</w:t>
      </w:r>
    </w:p>
    <w:p>
      <w:pPr>
        <w:pStyle w:val="Heading2"/>
      </w:pPr>
      <w:r>
        <w:t>Short Answer</w:t>
      </w:r>
    </w:p>
    <w:p>
      <w:r>
        <w:rPr>
          <w:b w:val="0"/>
        </w:rPr>
        <w:t>The Court of Appeals' decision in Angela VV. does not categorically foreclose a leave application, but it sets a high bar. The Court's memorandum opinion defers heavily to the factual findings of the lower courts, particularly their credibility determinations regarding the defendant's testimony and the reliance on her self-reported forensic evaluation. A successful leave application would require identifying specific, concrete factual distinctions from the Angela VV. record—such as corroborating evidence of domestic violence independent of the defendant's testimony, or a different pattern of acceptance of responsibility—that were not present in Angela VV., or articulating a novel legal question regarding the DVSJA's application that the Court did not address.</w:t>
      </w:r>
    </w:p>
    <w:p>
      <w:pPr>
        <w:pStyle w:val="Heading2"/>
      </w:pPr>
      <w:r>
        <w:t>Statement of Facts</w:t>
      </w:r>
    </w:p>
    <w:p>
      <w:r>
        <w:rPr>
          <w:b w:val="0"/>
        </w:rPr>
        <w:t>The defendant, Angela VV., and the victim were in a relationship. According to the defendant, the victim engaged in a pattern of physical and emotional abuse against her. In 2013, the defendant killed the victim after he threatened her with a knife. She subsequently pleaded guilty to manslaughter in the first degree and was sentenced to a prison term of 15 years, followed by five years of postrelease supervision.</w:t>
      </w:r>
    </w:p>
    <w:p>
      <w:r>
        <w:rPr>
          <w:b w:val="0"/>
        </w:rPr>
        <w:t>In 2022, the defendant filed an application for resentencing under the Domestic Violence Survivors Justice Act (DVSJA), codified at CPL 440.47 and Penal Law § 60.12. To succeed, she was required to establish three factors under Penal Law § 60.12(1): (a) that at the time of the offense, she was a victim of domestic violence subjected to substantial physical, sexual, or psychological abuse by a family or household member; (b) that such abuse was a significant contributing factor to her criminal behavior; and (c) that, considering the nature of the crime and the defendant's history, character, and condition, a standard sentence would be 'unduly harsh' and a reduced sentence warranted.</w:t>
      </w:r>
    </w:p>
    <w:p>
      <w:r>
        <w:rPr>
          <w:b w:val="0"/>
        </w:rPr>
        <w:t>Following a hearing, County Court denied the application. The court found the defendant's testimony 'incredible' and 'self-serving' and found the forensic psychological evaluation, which relied almost exclusively on the defendant's self-reporting, to be of little value. The court concluded the defendant failed to meet her burden as to prongs (a) and (b).</w:t>
      </w:r>
    </w:p>
    <w:p>
      <w:r>
        <w:rPr>
          <w:b w:val="0"/>
        </w:rPr>
        <w:t>The Appellate Division, Third Department, affirmed. 229 AD3d 955 (3d Dept 2024). After its own review, it agreed with the County Court's assessment of the defendant's testimony and the forensic report. It found the evidence insufficient to establish prongs (b) and (c). Regarding prong (c), it concluded the original sentence was not 'unduly harsh,' citing the 'chilling account' of the murder, the defendant's failure to accept responsibility for her actions, and her disciplinary history while incarcerated.</w:t>
      </w:r>
    </w:p>
    <w:p>
      <w:r>
        <w:rPr>
          <w:b w:val="0"/>
        </w:rPr>
        <w:t>The New York Court of Appeals affirmed. The Court held that the Appellate Division's findings were supported by the record and were otherwise beyond the scope of its review, citing its companion decision, People v. Brenda WW. — NY3d — [2025] (decided the same day). The order was affirmed in a memorandum, with Chief Judge Wilson and Judges Rivera, Garcia, Singas, Cannataro, Troutman, and Halligan concurring.</w:t>
      </w:r>
    </w:p>
    <w:p>
      <w:pPr>
        <w:pStyle w:val="Heading2"/>
      </w:pPr>
      <w:r>
        <w:t>Discussion</w:t>
      </w:r>
    </w:p>
    <w:p>
      <w:r>
        <w:rPr>
          <w:b w:val="0"/>
        </w:rPr>
        <w:t>The Court of Appeals' memorandum in Angela VV. provides a clear, albeit summary, framework for how it will treat DVSJA resentencing applications. The decision reinforces that the DVSJA's three-prong test under Penal Law § 60.12(1) places a significant burden on the defendant. The lower courts in Angela VV. found the defendant failed on prongs (a) and (b) based on credibility assessments, and the Appellate Division independently found failure on prongs (b) and (c). The Court of Appeals did not disturb these findings, signaling strong deference to the factual determinations of the courts that heard the evidence.</w:t>
      </w:r>
    </w:p>
    <w:p>
      <w:r>
        <w:rPr>
          <w:b w:val="0"/>
        </w:rPr>
        <w:t>The Court's standard of review is particularly instructive. By stating that the Appellate Division's findings 'are supported by the record and are otherwise beyond the scope of our review,' the Court indicates that its role in DVSJA cases is not to re-weigh evidence or reassess witness credibility. Instead, it will examine whether the lower courts properly applied the law and whether their factual findings have a record basis. This creates a high hurdle for any leave application, as the appellant would need to demonstrate either a misapplication of the statutory standard or a factual finding wholly unsupported by the record.</w:t>
      </w:r>
    </w:p>
    <w:p>
      <w:r>
        <w:rPr>
          <w:b w:val="0"/>
        </w:rPr>
        <w:t>The Court's citation to People v. Brenda WW. — NY3d — [2025] (decided today) is significant. This companion case likely addresses the Court's jurisdictional framework for reviewing DVSJA resentencing denials, potentially clarifying the scope of review or the standard for granting leave to appeal. For our purposes, it suggests the Court is actively shaping the DVSJA jurisprudence in this term. A leave application should carefully distinguish the facts of our client's case from those in both Angela VV. and Brenda WW.</w:t>
      </w:r>
    </w:p>
    <w:p>
      <w:r>
        <w:rPr>
          <w:b w:val="0"/>
        </w:rPr>
        <w:t>To mount a viable leave application, we must identify specific distinctions. First, unlike Angela VV., our client's case should present corroboration for the history of domestic violence beyond self-reporting. This could include medical records, prior police reports, testimony from third parties, or documentary evidence such as text messages or emails. The absence of such corroboration was a key weakness in Angela VV. Second, we must examine our client's record for evidence of accepting responsibility and a clean disciplinary history, factors the Appellate Division cited against Angela VV. as relevant to prong (c). Our client's narrative must be framed differently, emphasizing rehabilitation and the direct causal link between the abuse and the crime, which the lower courts found lacking in Angela VV.</w:t>
      </w:r>
    </w:p>
    <w:p>
      <w:pPr>
        <w:pStyle w:val="Heading2"/>
      </w:pPr>
      <w:r>
        <w:t>Recommendation</w:t>
      </w:r>
    </w:p>
    <w:p>
      <w:r>
        <w:rPr>
          <w:b w:val="0"/>
        </w:rPr>
        <w:t>Based on the analysis above, I recommend that we pursue a leave application only if our client's record contains the factual distinctions outlined in the Discussion section. Specifically, we must have (1) credible, corroborating evidence of the domestic violence history independent of the client's own testimony, and (2) a record that demonstrates the client's acceptance of responsibility and positive disciplinary history, distinguishing her from the defendant in Angela VV. If our client's file lacks these distinguishing factors, the likelihood of success is low, given the Court of Appeals' clear deference to the lower courts' factual findings and credibility assessments. We should request the complete appellate record and the County Court hearing transcript to conduct this factual comparison before filing the application for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