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Memorandum - The Home Depot, Inc.</w:t>
      </w:r>
    </w:p>
    <w:p>
      <w:r>
        <w:rPr>
          <w:b/>
        </w:rPr>
        <w:t>TO:</w:t>
        <w:tab/>
      </w:r>
      <w:r>
        <w:t>Credit Committee</w:t>
      </w:r>
    </w:p>
    <w:p>
      <w:r>
        <w:rPr>
          <w:b/>
        </w:rPr>
        <w:t>FROM:</w:t>
        <w:tab/>
      </w:r>
      <w:r>
        <w:t>Senior Credit Analyst, Corporate &amp; Investment Banking</w:t>
      </w:r>
    </w:p>
    <w:p>
      <w:r>
        <w:rPr>
          <w:b/>
        </w:rPr>
        <w:t>DATE:</w:t>
        <w:tab/>
      </w:r>
      <w:r>
        <w:t>June 2026</w:t>
      </w:r>
    </w:p>
    <w:p>
      <w:r>
        <w:rPr>
          <w:b/>
        </w:rPr>
        <w:t>RE:</w:t>
        <w:tab/>
      </w:r>
      <w:r>
        <w:t>Credit Assessment and Facility Renewal Recommendation - The Home Depot, Inc. (NYSE: HD)</w:t>
      </w:r>
    </w:p>
    <w:p>
      <w:r>
        <w:t>________________________________________________________________________________</w:t>
      </w:r>
    </w:p>
    <w:p>
      <w:pPr>
        <w:pStyle w:val="Heading1"/>
      </w:pPr>
      <w:r>
        <w:t>Executive Summary</w:t>
      </w:r>
    </w:p>
    <w:p>
      <w:r>
        <w:rPr>
          <w:b w:val="0"/>
        </w:rPr>
        <w:t>This memorandum presents a comprehensive credit assessment of The Home Depot, Inc. (NYSE: HD, CIK: 0000354950), a leading retailer in the home improvement sector, to support the Credit Committee's evaluation of the proposed renewal and expansion of the company's revolving credit facility from $2.5 billion to $3.5 billion.</w:t>
      </w:r>
    </w:p>
    <w:p>
      <w:r>
        <w:rPr>
          <w:b w:val="0"/>
        </w:rPr>
        <w:t>The Home Depot demonstrates strong revenue generation capabilities with FY2025 full-year revenue of $164.7 billion, representing a 3.2% increase from FY2024 revenue of $159.5 billion. The company maintains robust profitability with a gross margin of approximately 33.3% and an operating margin of approximately 12.7% for FY2025. However, the company's capital structure warrants careful attention, with stockholders' equity of $12.8 billion at FY2025 representing only 12.2% of total assets, indicating a highly leveraged balance sheet.</w:t>
      </w:r>
    </w:p>
    <w:p>
      <w:r>
        <w:rPr>
          <w:b w:val="0"/>
        </w:rPr>
        <w:t>Key credit strengths include: (1) dominant market position in the home improvement retail sector with consistently strong revenue generation exceeding $159 billion annually; (2) solid profitability metrics with gross margins above 33% and operating margins above 12%; (3) consistent earnings generation with FY2025 diluted EPS of $14.23; and (4) adequate liquidity with cash and cash equivalents of $1.4 billion at FY2025.</w:t>
      </w:r>
    </w:p>
    <w:p>
      <w:r>
        <w:rPr>
          <w:b w:val="0"/>
        </w:rPr>
        <w:t>Key credit concerns include: (1) a highly leveraged balance sheet with a debt-to-equity ratio of approximately 7.20x at FY2025; (2) negative equity trend from historical periods requiring monitoring of capital allocation decisions; (3) cyclicality inherent in the home improvement retail sector tied to housing market conditions and consumer discretionary spending; and (4) total liabilities representing approximately 87.8% of total assets.</w:t>
      </w:r>
    </w:p>
    <w:p>
      <w:r>
        <w:rPr>
          <w:b w:val="0"/>
        </w:rPr>
        <w:t>Based on this analysis, we recommend approval of the facility expansion to $3.5 billion with enhanced financial covenants including maximum leverage ratio, minimum interest coverage, and minimum liquidity requirements. The recommendation is subject to the Credit Committee's review of additional qualitative factors including management quality, competitive positioning, and macroeconomic outlook.</w:t>
      </w:r>
    </w:p>
    <w:p>
      <w:pPr>
        <w:pStyle w:val="Heading1"/>
      </w:pPr>
      <w:r>
        <w:t>Company Overview</w:t>
      </w:r>
    </w:p>
    <w:p>
      <w:r>
        <w:rPr>
          <w:b w:val="0"/>
        </w:rPr>
        <w:t>The Home Depot, Inc. is a publicly traded company listed on the New York Stock Exchange under ticker symbol HD. The company is registered with the Securities and Exchange Commission under CIK number 0000354950 and operates within the retail sector, specifically focused on the home improvement market.</w:t>
      </w:r>
    </w:p>
    <w:p>
      <w:r>
        <w:rPr>
          <w:b w:val="0"/>
        </w:rPr>
        <w:t>Based on the most recent available financial data, The Home Depot generated full-year revenue of $164.7 billion for FY2025 (fiscal year ending approximately February 1, 2026), making it one of the largest retailers in the United States. This represents an increase from FY2024 revenue of $159.5 billion, demonstrating continued top-line growth despite macroeconomic headwinds affecting the broader retail sector.</w:t>
      </w:r>
    </w:p>
    <w:p>
      <w:r>
        <w:rPr>
          <w:b w:val="0"/>
        </w:rPr>
        <w:t>The company's operational scale is further evidenced by total assets of $105.1 billion at FY2025, reflecting a substantial physical and operational footprint across its store network and supply chain infrastructure. As of the most recent balance sheet date, the company employed a significant workforce to support its retail operations across multiple geographic markets.</w:t>
      </w:r>
    </w:p>
    <w:p>
      <w:r>
        <w:rPr>
          <w:b w:val="0"/>
        </w:rPr>
        <w:t>The Home Depot operates in the highly competitive home improvement retail sector, which is characterized by cyclical demand patterns closely tied to housing market activity, consumer confidence, and discretionary spending trends. The sector requires significant capital investment in store locations, inventory management, and supply chain infrastructure to maintain competitive positioning.</w:t>
      </w:r>
    </w:p>
    <w:p>
      <w:pPr>
        <w:pStyle w:val="Heading1"/>
      </w:pPr>
      <w:r>
        <w:t>Financial Analysis</w:t>
      </w:r>
    </w:p>
    <w:p>
      <w:r>
        <w:rPr>
          <w:b w:val="0"/>
        </w:rPr>
        <w:t>Revenue Analysis: The Home Depot has demonstrated consistent revenue generation with FY2025 full-year revenue of $164.7 billion compared to FY2024 revenue of $159.5 billion, representing year-over-year growth of approximately 3.2%. On a quarterly basis, Q1 FY2025 revenue was $39.9 billion, Q2 FY2025 revenue was $45.3 billion, and Q3 FY2025 revenue was $41.4 billion, reflecting typical seasonal patterns in the home improvement retail sector with stronger performance during spring and summer months.</w:t>
      </w:r>
    </w:p>
    <w:p>
      <w:r>
        <w:rPr>
          <w:b w:val="0"/>
        </w:rPr>
        <w:t>Profitability Analysis: For FY2025, The Home Depot reported gross profit of $54.9 billion on revenue of $164.7 billion, yielding a gross margin of approximately 33.3%. This compares to FY2024 gross profit of $53.3 billion on revenue of $159.5 billion, representing a gross margin of approximately 33.4%. Operating income for FY2025 was $20.9 billion, translating to an operating margin of approximately 12.7%, compared to FY2024 operating income of $21.5 billion and an operating margin of approximately 13.5%. Net income for FY2025 was $14.2 billion, representing a net margin of approximately 8.6%, compared to FY2024 net income of $14.8 billion and a net margin of approximately 9.3%.</w:t>
      </w:r>
    </w:p>
    <w:p>
      <w:r>
        <w:rPr>
          <w:b w:val="0"/>
        </w:rPr>
        <w:t>For Q3 FY2025, single-quarter revenue was $41.4 billion with gross profit of $13.8 billion, yielding a quarterly gross margin of approximately 33.4%. Quarterly operating income was $5.4 billion with an operating margin of approximately 12.9%, and net income was $3.6 billion with a net margin of approximately 8.7%.</w:t>
      </w:r>
    </w:p>
    <w:p>
      <w:r>
        <w:rPr>
          <w:b w:val="0"/>
        </w:rPr>
        <w:t>Balance Sheet Analysis: Total assets increased from $96.1 billion at FY2024 to $105.1 billion at FY2025, representing growth of approximately 9.4%. Total liabilities also increased from $89.5 billion at FY2024 to $92.3 billion at FY2025. Stockholders' equity showed improvement from $6.6 billion at FY2024 to $12.8 billion at FY2025, representing an increase of approximately 93.2%. However, equity remains relatively thin compared to the company's overall balance sheet size.</w:t>
      </w:r>
    </w:p>
    <w:p>
      <w:r>
        <w:rPr>
          <w:b w:val="0"/>
        </w:rPr>
        <w:t>Leverage Analysis: The debt-to-equity ratio, calculated as total liabilities divided by stockholders' equity, was approximately 13.50x at FY2024 ($89.5B / $6.6B) and improved to approximately 7.20x at FY2025 ($92.3B / $12.8B). The total liabilities-to-assets ratio was approximately 93.1% at FY2024 and improved to approximately 87.8% at FY2025. As of Q3 FY2025, the debt-to-equity ratio was approximately 7.77x ($94.2B / $12.1B) with a liabilities-to-assets ratio of approximately 88.6%.</w:t>
      </w:r>
    </w:p>
    <w:p>
      <w:r>
        <w:rPr>
          <w:b w:val="0"/>
        </w:rPr>
        <w:t>Liquidity Analysis: Cash and cash equivalents were $1.7 billion at FY2024, increased to $2.8 billion at Q2 FY2025, and stood at $1.4 billion at FY2025. The cash position as a percentage of total assets was approximately 1.3% at FY2025, indicating that while the company maintains adequate liquidity for operational needs, it does not hold excessive cash balances relative to its asset base.</w:t>
      </w:r>
    </w:p>
    <w:p>
      <w:r>
        <w:rPr>
          <w:b w:val="0"/>
        </w:rPr>
        <w:t>Earnings Per Share Trajectory: Diluted EPS for FY2025 was $14.23, compared to FY2024 diluted EPS of $14.91, representing a decline of approximately 4.6%. On a quarterly basis, Q1 FY2025 diluted EPS was $3.45, Q2 FY2025 was $4.58, and Q3 FY2025 was $3.62. The year-to-date diluted EPS through Q3 FY2025 was $11.65.</w:t>
      </w:r>
    </w:p>
    <w:p>
      <w:pPr>
        <w:pStyle w:val="Heading2"/>
      </w:pPr>
      <w:r>
        <w:t>Financial Summary</w:t>
      </w:r>
    </w:p>
    <w:p>
      <w:r>
        <w:rPr>
          <w:b w:val="0"/>
        </w:rPr>
        <w:t>The following summarizes key financial metrics for The Home Depot across the analysis period:</w:t>
      </w:r>
    </w:p>
    <w:p>
      <w:r>
        <w:rPr>
          <w:b w:val="0"/>
        </w:rPr>
        <w:t>Revenue: FY2024: $159.5B | FY2025: $164.7B | Q3 FY2025 (single quarter): $41.4B</w:t>
      </w:r>
    </w:p>
    <w:p>
      <w:r>
        <w:rPr>
          <w:b w:val="0"/>
        </w:rPr>
        <w:t>Gross Profit: FY2024: $53.3B | FY2025: $54.9B | Q3 FY2025: $13.8B</w:t>
      </w:r>
    </w:p>
    <w:p>
      <w:r>
        <w:rPr>
          <w:b w:val="0"/>
        </w:rPr>
        <w:t>Gross Margin: FY2024: 33.4% | FY2025: 33.3% | Q3 FY2025: 33.4%</w:t>
      </w:r>
    </w:p>
    <w:p>
      <w:r>
        <w:rPr>
          <w:b w:val="0"/>
        </w:rPr>
        <w:t>Operating Income: FY2024: $21.5B | FY2025: $20.9B | Q3 FY2025: $5.4B</w:t>
      </w:r>
    </w:p>
    <w:p>
      <w:r>
        <w:rPr>
          <w:b w:val="0"/>
        </w:rPr>
        <w:t>Operating Margin: FY2024: 13.5% | FY2025: 12.7% | Q3 FY2025: 12.9%</w:t>
      </w:r>
    </w:p>
    <w:p>
      <w:r>
        <w:rPr>
          <w:b w:val="0"/>
        </w:rPr>
        <w:t>Net Income: FY2024: $14.8B | FY2025: $14.2B | Q3 FY2025: $3.6B</w:t>
      </w:r>
    </w:p>
    <w:p>
      <w:r>
        <w:rPr>
          <w:b w:val="0"/>
        </w:rPr>
        <w:t>Net Margin: FY2024: 9.3% | FY2025: 8.6% | Q3 FY2025: 8.7%</w:t>
      </w:r>
    </w:p>
    <w:p>
      <w:r>
        <w:rPr>
          <w:b w:val="0"/>
        </w:rPr>
        <w:t>Total Assets: FY2024: $96.1B | FY2025: $105.1B | Q3 FY2025: $106.3B</w:t>
      </w:r>
    </w:p>
    <w:p>
      <w:r>
        <w:rPr>
          <w:b w:val="0"/>
        </w:rPr>
        <w:t>Total Liabilities: FY2024: $89.5B | FY2025: $92.3B | Q3 FY2025: $94.2B</w:t>
      </w:r>
    </w:p>
    <w:p>
      <w:r>
        <w:rPr>
          <w:b w:val="0"/>
        </w:rPr>
        <w:t>Stockholders Equity: FY2024: $6.6B | FY2025: $12.8B | Q3 FY2025: $12.1B</w:t>
      </w:r>
    </w:p>
    <w:p>
      <w:r>
        <w:rPr>
          <w:b w:val="0"/>
        </w:rPr>
        <w:t>Cash: FY2024: $1.7B | FY2025: $1.4B | Q3 FY2025: $1.7B</w:t>
      </w:r>
    </w:p>
    <w:p>
      <w:r>
        <w:rPr>
          <w:b w:val="0"/>
        </w:rPr>
        <w:t>Debt-to-Equity Ratio: FY2024: 13.50x | FY2025: 7.20x | Q3 FY2025: 7.77x</w:t>
      </w:r>
    </w:p>
    <w:p>
      <w:r>
        <w:rPr>
          <w:b w:val="0"/>
        </w:rPr>
        <w:t>Liabilities-to-Assets Ratio: FY2024: 93.1% | FY2025: 87.8% | Q3 FY2025: 88.6%</w:t>
      </w:r>
    </w:p>
    <w:p>
      <w:r>
        <w:rPr>
          <w:b w:val="0"/>
        </w:rPr>
        <w:t>Diluted EPS: FY2024: $14.91 | FY2025: $14.23 | Q3 FY2025 (single quarter): $3.62</w:t>
      </w:r>
    </w:p>
    <w:p>
      <w:pPr>
        <w:pStyle w:val="Heading1"/>
      </w:pPr>
      <w:r>
        <w:t>Risk Assessment</w:t>
      </w:r>
    </w:p>
    <w:p>
      <w:r>
        <w:rPr>
          <w:b w:val="0"/>
        </w:rPr>
        <w:t>Leverage and Capital Structure Risk: The most significant credit risk factor is the company's highly leveraged balance sheet. Stockholders' equity of $12.8 billion at FY2025 represents only 12.2% of total assets of $105.1 billion. While the debt-to-equity ratio improved from 13.50x at FY2024 to 7.20x at FY2025, these leverage levels remain elevated compared to investment-grade retail peers. A significant decline in profitability or asset values could quickly erode the thin equity cushion, potentially triggering covenant breaches or necessitating asset sales.</w:t>
      </w:r>
    </w:p>
    <w:p>
      <w:r>
        <w:rPr>
          <w:b w:val="0"/>
        </w:rPr>
        <w:t>Cyclicality Risk: The Home Depot's revenue and profitability are inherently tied to cyclical factors including housing market activity, home improvement spending trends, consumer confidence levels, and interest rate environments. The home improvement sector typically experiences significant demand volatility during economic downturns, as consumers defer discretionary renovation and maintenance projects. Historical data from FY2009 shows revenue of approximately $66.2 billion, demonstrating the potential for significant revenue contraction during recessionary periods compared to current levels exceeding $160 billion.</w:t>
      </w:r>
    </w:p>
    <w:p>
      <w:r>
        <w:rPr>
          <w:b w:val="0"/>
        </w:rPr>
        <w:t>Operating Margin Compression: Operating margins have shown a declining trend from 13.5% in FY2024 to 12.7% in FY2025, driven by SG&amp;A expense growth from $28.7 billion in FY2024 to $30.7 billion in FY2025, representing an increase of approximately 6.8%. This expense growth outpaced revenue growth of 3.2%, indicating potential challenges in maintaining cost discipline. Continued margin compression could impact debt service capacity and covenant compliance.</w:t>
      </w:r>
    </w:p>
    <w:p>
      <w:r>
        <w:rPr>
          <w:b w:val="0"/>
        </w:rPr>
        <w:t>Liquidity Risk: While the company maintains positive cash balances, the absolute level of cash and cash equivalents is modest relative to the company's overall balance sheet size. Cash of $1.4 billion at FY2025 represents only 1.3% of total assets. In a stress scenario involving significant revenue decline or working capital deterioration, the company may face liquidity constraints that could affect its ability to meet financial obligations.</w:t>
      </w:r>
    </w:p>
    <w:p>
      <w:r>
        <w:rPr>
          <w:b w:val="0"/>
        </w:rPr>
        <w:t>Competitive and Market Risk: The home improvement retail sector is highly competitive, with The Home Depot facing competition from other large-format retailers, specialty stores, and online platforms. Market share erosion or pricing pressure could impact revenue growth and profitability metrics that underpin the company's credit profile.</w:t>
      </w:r>
    </w:p>
    <w:p>
      <w:pPr>
        <w:pStyle w:val="Heading1"/>
      </w:pPr>
      <w:r>
        <w:t>Covenant Recommendations</w:t>
      </w:r>
    </w:p>
    <w:p>
      <w:r>
        <w:rPr>
          <w:b w:val="0"/>
        </w:rPr>
        <w:t>Based on the financial analysis conducted, we recommend the following financial covenants for the proposed $3.5 billion revolving credit facility to ensure adequate lender protection while providing the borrower with reasonable operational flexibility:</w:t>
      </w:r>
    </w:p>
    <w:p>
      <w:r>
        <w:rPr>
          <w:b w:val="0"/>
        </w:rPr>
        <w:t>Maximum Leverage Ratio (Total Liabilities / Stockholders Equity): We recommend a maximum leverage ratio covenant of 10.00x, with a springing provision that tightens to 8.00x if the company's total liabilities-to-assets ratio exceeds 90%. Current leverage of 7.20x at FY2025 provides adequate headroom, but the covenant level accounts for potential deterioration during economic downturns.</w:t>
      </w:r>
    </w:p>
    <w:p>
      <w:r>
        <w:rPr>
          <w:b w:val="0"/>
        </w:rPr>
        <w:t>Minimum Interest Coverage Proxy (Operating Income / SG&amp;A Expense): We recommend a minimum coverage ratio of 0.60x based on the operating income to SG&amp;A expense relationship. For FY2025, this ratio was approximately 0.68x ($20.9B / $30.7B), providing approximately 13% headroom above the proposed covenant level. This proxy serves as a measure of the company's ability to cover its operational cost structure from core earnings.</w:t>
      </w:r>
    </w:p>
    <w:p>
      <w:r>
        <w:rPr>
          <w:b w:val="0"/>
        </w:rPr>
        <w:t>Minimum Liquidity (Cash and Cash Equivalents): We recommend a minimum liquidity covenant of $1.0 billion in cash and cash equivalents. Current cash of $1.4 billion at FY2025 provides 40% headroom above this level. This covenant ensures the company maintains adequate liquidity to meet short-term obligations and operational needs.</w:t>
      </w:r>
    </w:p>
    <w:p>
      <w:r>
        <w:rPr>
          <w:b w:val="0"/>
        </w:rPr>
        <w:t>Additional Covenant Considerations: We also recommend inclusion of a negative pledge clause, restrictions on material asset dispositions without lender consent, and a requirement to provide quarterly and annual financial statements within 60 and 90 days of period end, respectively. The facility agreement should include standard change of control provisions and cross-default clauses with material indebtedness.</w:t>
      </w:r>
    </w:p>
    <w:p>
      <w:pPr>
        <w:pStyle w:val="Heading1"/>
      </w:pPr>
      <w:r>
        <w:t>Conclusion and Recommendation</w:t>
      </w:r>
    </w:p>
    <w:p>
      <w:r>
        <w:rPr>
          <w:b w:val="0"/>
        </w:rPr>
        <w:t>Based on the comprehensive analysis of The Home Depot's financial performance, capital structure, profitability trends, and risk factors, we recommend approval of the proposed revolving credit facility expansion from $2.5 billion to $3.5 billion with the enhanced covenant package described in this memorandum.</w:t>
      </w:r>
    </w:p>
    <w:p>
      <w:r>
        <w:rPr>
          <w:b w:val="0"/>
        </w:rPr>
        <w:t>Suggested Risk Rating: We recommend a risk rating of BBB (Investment Grade - Lower Medium) reflecting the company's strong revenue generation capabilities and market position, tempered by its highly leveraged balance sheet and exposure to cyclical economic factors. The rating acknowledges the company's consistent profitability but recognizes the thin equity cushion relative to total assets.</w:t>
      </w:r>
    </w:p>
    <w:p>
      <w:r>
        <w:rPr>
          <w:b w:val="0"/>
        </w:rPr>
        <w:t>Pricing Guidance: Based on current market conditions and the company's credit profile, we recommend pricing at SOFR plus 175 basis points for the revolving facility, with an unused commitment fee of 25 basis points. This pricing reflects the credit spread appropriate for a BBB-rated borrower with the leverage profile identified in this analysis. Upfront fees of 25 basis points are recommended to compensate for origination costs.</w:t>
      </w:r>
    </w:p>
    <w:p>
      <w:r>
        <w:rPr>
          <w:b w:val="0"/>
        </w:rPr>
        <w:t>The recommendation is contingent upon: (1) satisfactory completion of due diligence on the company's management team and strategic initiatives; (2) review of the company's off-balance sheet commitments and contingent liabilities; (3) assessment of macroeconomic conditions affecting the home improvement retail sector; and (4) negotiation of the covenant package described herein.</w:t>
      </w:r>
    </w:p>
    <w:p>
      <w:r>
        <w:rPr>
          <w:b w:val="0"/>
        </w:rPr>
        <w:t>The Home Depot's credit profile presents an acceptable risk-return profile for the proposed facility expansion. While the leverage metrics warrant close monitoring, the company's dominant market position, consistent revenue generation above $159 billion annually, and solid profitability margins support the investment-grade classification. We recommend proceeding to documentation with the Credit Committee's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