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tab/>
      </w:r>
      <w:r>
        <w:t>Supervising Attorney, Appellate Division, Ventura County Public Defender’s Office</w:t>
      </w:r>
    </w:p>
    <w:p>
      <w:r>
        <w:rPr>
          <w:b/>
        </w:rPr>
        <w:t>FROM:</w:t>
        <w:tab/>
      </w:r>
      <w:r>
        <w:t>Associate, Appellate Division</w:t>
      </w:r>
    </w:p>
    <w:p>
      <w:r>
        <w:rPr>
          <w:b/>
        </w:rPr>
        <w:t>DATE:</w:t>
        <w:tab/>
      </w:r>
      <w:r>
        <w:t>November 2023</w:t>
      </w:r>
    </w:p>
    <w:p>
      <w:r>
        <w:rPr>
          <w:b/>
        </w:rPr>
        <w:t>RE:</w:t>
        <w:tab/>
      </w:r>
      <w:r>
        <w:t>People v. Salazar (2023) 315 Cal. Rptr. 3d 295 — Analysis of Resentencing Standard Under Senate Bill 567</w:t>
      </w:r>
    </w:p>
    <w:p>
      <w:r>
        <w:t>________________________________________________________________________________</w:t>
      </w:r>
    </w:p>
    <w:p>
      <w:pPr>
        <w:pStyle w:val="Heading1"/>
      </w:pPr>
      <w:r>
        <w:t>Question Presented</w:t>
      </w:r>
    </w:p>
    <w:p>
      <w:r>
        <w:rPr>
          <w:b w:val="0"/>
        </w:rPr>
        <w:t>Whether, under the standard articulated in People v. Gutierrez (2014) 58 Cal.4th 1354, the record of sentencing proceedings clearly indicated that the trial court would have imposed the same middle term sentence on defendant Norman Salazar if it had been aware of the new lower-term presumption established by Senate Bill No. 567 (2021–2022 Reg. Sess.) (Stats. 2021, ch. 731) through its amendment of Penal Code section 1170, subdivision (b)(6).</w:t>
      </w:r>
    </w:p>
    <w:p>
      <w:pPr>
        <w:pStyle w:val="Heading1"/>
      </w:pPr>
      <w:r>
        <w:t>Short Answer</w:t>
      </w:r>
    </w:p>
    <w:p>
      <w:r>
        <w:rPr>
          <w:b w:val="0"/>
        </w:rPr>
        <w:t>No. The California Supreme Court held that the record does not clearly indicate the sentencing court would have imposed the same sentence if it had been aware of the full scope of its discretionary powers under the current Penal Code section 1170. People v. Salazar (2023) 315 Cal. Rptr. 3d 295. The Court reversed the judgment of the Court of Appeal and remanded the case to the Court of Appeal with instructions to remand to the superior court for resentencing. Id.</w:t>
      </w:r>
    </w:p>
    <w:p>
      <w:pPr>
        <w:pStyle w:val="Heading1"/>
      </w:pPr>
      <w:r>
        <w:t>Statement of Facts</w:t>
      </w:r>
    </w:p>
    <w:p>
      <w:r>
        <w:rPr>
          <w:b w:val="0"/>
        </w:rPr>
        <w:t>In 2018, Norman Salazar and M.Q. were in a dating relationship. After the relationship ended, M.Q. came to Salazar's motel room. Salazar pulled her inside, punched her in the head, and prevented her from leaving by placing a desk in front of the door. Over the course of approximately 20 hours, Salazar repeatedly punched and sprayed M.Q. with pepper spray and glass cleaner, bit her face, and threatened to kill her. People v. Salazar (2023) 315 Cal. Rptr. 3d 295.</w:t>
      </w:r>
    </w:p>
    <w:p>
      <w:r>
        <w:rPr>
          <w:b w:val="0"/>
        </w:rPr>
        <w:t>The jury acquitted Salazar of kidnapping and attempted robbery but found him guilty of false imprisonment by violence or menace (Pen. Code, §§ 236, 237, subd. (a)) and infliction of corporal injury on a person with whom he had a current or former dating relationship (Pen. Code, § 273.5, subd. (a)). Salazar admitted a prior strike conviction. Id.</w:t>
      </w:r>
    </w:p>
    <w:p>
      <w:r>
        <w:rPr>
          <w:b w:val="0"/>
        </w:rPr>
        <w:t>At the November 2020 sentencing hearing, the court denied Salazar's Romero motion to dismiss the prior strike. The court praised Salazar's courtroom conduct, stating: "You presented yourself very well. You could not have been more respectful..." and expressed hope that he could "become the best version of yourself." However, the court denied the motion due to Salazar's "long and continuous criminal history." The court imposed the middle term of three years on the corporal injury count, doubled to six years because of the prior strike, plus a consecutive eight months for false imprisonment (one-third the middle term, doubled), for a total prison sentence of seven years and four months. The court selected the middle term "based on having heard the evidence and based on the fact that the last seven years or so, the defendant's criminal history has been drug related." Id.</w:t>
      </w:r>
    </w:p>
    <w:p>
      <w:pPr>
        <w:pStyle w:val="Heading1"/>
      </w:pPr>
      <w:r>
        <w:t>Discussion</w:t>
      </w:r>
    </w:p>
    <w:p>
      <w:r>
        <w:rPr>
          <w:b w:val="0"/>
        </w:rPr>
        <w:t>The Supreme Court applied the standard from People v. Gutierrez (2014) 58 Cal.4th 1354, which provides that when a sentencing court was not aware of the full scope of its discretionary powers at the time of sentencing, "the appropriate remedy is to remand for resentencing unless the record 'clearly indicate[s]' that the trial court would have reached the same conclusion 'even if it had been aware that it had such discretion.'" Gutierrez, at p. 1391, quoted in People v. Salazar (2023) 315 Cal. Rptr. 3d 295.</w:t>
      </w:r>
    </w:p>
    <w:p>
      <w:r>
        <w:rPr>
          <w:b w:val="0"/>
        </w:rPr>
        <w:t>The Court rejected the Court of Appeal's reliance on the Watson standard (People v. Watson (1956) 46 Cal.2d 818, 836), holding that Watson "does not properly take into consideration the 'more speculative inquiry' of what choice the court is likely to make in the first instance." Salazar, supra, 315 Cal. Rptr. 3d 295, quoting In re F.M. (2023) 14 Cal.5th 701, 716. The Court emphasized that "when the applicable law governing the defendant's sentence has substantively changed after sentencing, it is almost always speculative for a reviewing court to say what the sentencing court would have done if it had known the scope of its discretionary powers at the time of sentencing." Salazar, supra.</w:t>
      </w:r>
    </w:p>
    <w:p>
      <w:r>
        <w:rPr>
          <w:b w:val="0"/>
        </w:rPr>
        <w:t>The Court explained that under former Penal Code section 1170, the sentencing court had "sound discretion" to weigh aggravating and mitigating circumstances and impose any of the three terms. Under the new law, however, the court "shall order imposition of the lower term" when a defendant has experienced qualifying trauma that was a contributing factor to the offense, "unless the court finds that the aggravating circumstances outweigh the mitigating circumstances [so] that imposition of the lower term would be contrary to the interests of justice." Pen. Code, § 1170, subd. (b)(6). The Court characterized this as a "dramatically restrains" discretion and a "marked departure" from the prior law. Salazar, supra.</w:t>
      </w:r>
    </w:p>
    <w:p>
      <w:r>
        <w:rPr>
          <w:b w:val="0"/>
        </w:rPr>
        <w:t>The Attorney General first argued that Salazar's "long and continuous criminal history," including six additional offenses after the present case, and the aggravated facts of the crime clearly indicated the court would have imposed the same sentence. The Court rejected this, noting that while the offenses were "certainly abhorrent," the sentencing court did not even mention the nature of the crime as part of its sentencing determination. The Court's reference to "20 hours" was made in connection with the section 654 stay request, not in determining which term to impose. The Court further noted that the Court of Appeal's characterization of the offenses as "aggravated, sadistic" and "akin to torture" was the appellate court substituting its own view for that of the sentencing court. Salazar, supra.</w:t>
      </w:r>
    </w:p>
    <w:p>
      <w:r>
        <w:rPr>
          <w:b w:val="0"/>
        </w:rPr>
        <w:t>The Attorney General argued the denial of the Romero motion was a clear indication of the court's intent. The Court rejected this, explaining that a Romero motion requires a "different legal standard with a different presumption" than Penal Code section 1170. The Three Strikes law establishes a "strong presumption" in favor of a harsher sentence, while section 1170 creates a presumption in favor of a more lenient sentence. The Court quoted People v. Bell (2020) 47 Cal.App.5th 153, 200: "We cannot speculate from the court's statements and decision as to one sentencing issue to divine what the court would have done if it had broadened discretion on another sentencing issue." Salazar, supra.</w:t>
      </w:r>
    </w:p>
    <w:p>
      <w:r>
        <w:rPr>
          <w:b w:val="0"/>
        </w:rPr>
        <w:t>The Attorney General also pointed to the imposition of consecutive sentences as a clear indication. The Court rejected this, noting the sentencing court was focused on whether the conduct was continuous (for section 654 purposes) rather than on the interests of justice standard under section 1170. The Court further noted that there is no requirement that a court find aggravating circumstances to impose consecutive sentences (People v. Black (2007) 41 Cal.4th 799, 822), whereas under section 1170, the court must make a specific finding that aggravating circumstances outweigh mitigating circumstances to depart from the lower term. The court here did not specifically articulate any aggravating circumstances when imposing consecutive terms. Salazar, supra.</w:t>
      </w:r>
    </w:p>
    <w:p>
      <w:r>
        <w:rPr>
          <w:b w:val="0"/>
        </w:rPr>
        <w:t>The Court emphasized several mitigating factors the sentencing court had noted. First, the court found that "a lot" of Salazar's criminal history "is drug related, and a lot of it may be because of suffering from your father's death, and then I think it was a couple years later, your mother's death." Second, the court praised Salazar's courtroom conduct. Third, the court was "hopeful that once this is done, that you can become the best version of yourself." Fourth, the court noted "it seems to me like you have more that you could offer." Fifth, the court selected the middle term rather than the upper term, which the dissent noted "impliedly found the aggravating factors were not sufficient to warrant imposition of the high term." Salazar, supra, quoting People v. Salazar (2022) 80 Cal.App.5th 453, 466 (dis. opn. of Tangeman, J.).</w:t>
      </w:r>
    </w:p>
    <w:p>
      <w:r>
        <w:rPr>
          <w:b w:val="0"/>
        </w:rPr>
        <w:t>The Court also distinguished its decision in People v. Flores (2020) 9 Cal.5th 371, where it found a clear indication. In Flores, the sentencing court stated the defendant "fall[s] into the category of the worst of the worst offenders thereby deserving the ultimate sentence of death" and that it was " 'just[ ]' " for the defendant to receive a death sentence. The Court noted the present case does not involve a death sentence and the sentencing court's comments are "not at all comparable" to those in Flores. Salazar, supra.</w:t>
      </w:r>
    </w:p>
    <w:p>
      <w:pPr>
        <w:pStyle w:val="Heading1"/>
      </w:pPr>
      <w:r>
        <w:t>Conclusion</w:t>
      </w:r>
    </w:p>
    <w:p>
      <w:r>
        <w:rPr>
          <w:b w:val="0"/>
        </w:rPr>
        <w:t>The California Supreme Court concluded that under the Gutierrez standard, the record does not clearly indicate that the sentencing court would have imposed the same middle term sentence if it had been aware of the scope of its discretionary powers under Penal Code section 1170 as amended by Senate Bill 567. The Court reversed the Court of Appeal's judgment and remanded with instructions to remand to the superior court for resentencing. The Court expressly stated it "express[es] no view as to how the court should resolve that question" on remand. People v. Salazar (2023) 315 Cal. Rptr. 3d 295.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