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Investment Memo - NIKE, Inc. (NKE)</w:t>
      </w:r>
    </w:p>
    <w:p>
      <w:r>
        <w:rPr>
          <w:b/>
        </w:rPr>
        <w:t>TO:</w:t>
        <w:tab/>
      </w:r>
      <w:r>
        <w:t>Institutional Sales &amp; Trading Desk</w:t>
      </w:r>
    </w:p>
    <w:p>
      <w:r>
        <w:rPr>
          <w:b/>
        </w:rPr>
        <w:t>FROM:</w:t>
        <w:tab/>
      </w:r>
      <w:r>
        <w:t>Consumer Discretionary Equity Research Team</w:t>
      </w:r>
    </w:p>
    <w:p>
      <w:r>
        <w:rPr>
          <w:b/>
        </w:rPr>
        <w:t>DATE:</w:t>
        <w:tab/>
      </w:r>
      <w:r>
        <w:t>April 2026</w:t>
      </w:r>
    </w:p>
    <w:p>
      <w:r>
        <w:rPr>
          <w:b/>
        </w:rPr>
        <w:t>RE:</w:t>
        <w:tab/>
      </w:r>
      <w:r>
        <w:t>NIKE, Inc. (NKE) — Q3 FY2026 Financial Review</w:t>
      </w:r>
    </w:p>
    <w:p>
      <w:r>
        <w:t>________________________________________________________________________________</w:t>
      </w:r>
    </w:p>
    <w:p>
      <w:pPr>
        <w:pStyle w:val="Heading1"/>
      </w:pPr>
      <w:r>
        <w:t>Executive Summary</w:t>
      </w:r>
    </w:p>
    <w:p>
      <w:r>
        <w:rPr>
          <w:b w:val="0"/>
        </w:rPr>
        <w:t>NIKE, Inc. (NYSE: NKE) has reported financial results through the third quarter of fiscal year 2026 (nine months ended February 28, 2026). The company generated cumulative year-to-date revenue of $35.4 billion, with the most recent quarter (Q3 FY2026, December 2025 through February 2026) contributing $11.3 billion in single-quarter revenue. Net income for the nine-month period reached $2.0 billion, with Q3 FY2026 delivering $520 million, representing a sequential decline from Q2 FY2026's $792 million.</w:t>
      </w:r>
    </w:p>
    <w:p>
      <w:r>
        <w:rPr>
          <w:b w:val="0"/>
        </w:rPr>
        <w:t>Diluted earnings per share for Q3 FY2026 came in at $0.35, bringing the year-to-date figure to $1.38. This compares to full-year FY2025 diluted EPS of $2.16, suggesting that NIKE's current fiscal year pace may fall short of prior-year profitability levels if the trend persists into Q4. The company's gross margin showed sequential pressure in Q3, with gross profit of $4.5 billion on revenue of $11.3 billion, equating to a gross margin of approximately 40.1%.</w:t>
      </w:r>
    </w:p>
    <w:p>
      <w:r>
        <w:rPr>
          <w:b w:val="0"/>
        </w:rPr>
        <w:t>NIKE's balance sheet remains solid, with total assets of $37.1 billion and stockholders' equity of $14.1 billion as of the end of Q3 FY2026. Cash and cash equivalents stood at $6.7 billion, a decline from $7.5 billion at the end of FY2025, reflecting ongoing capital deployment. Overall, the financial data presents a mixed picture of a company navigating margin headwinds while maintaining a robust balance sheet position.</w:t>
      </w:r>
    </w:p>
    <w:p>
      <w:pPr>
        <w:pStyle w:val="Heading1"/>
      </w:pPr>
      <w:r>
        <w:t>Revenue Analysis</w:t>
      </w:r>
    </w:p>
    <w:p>
      <w:r>
        <w:rPr>
          <w:b w:val="0"/>
        </w:rPr>
        <w:t>NIKE's quarterly revenue trajectory through the first three quarters of FY2026 shows a notable sequential decline in Q3. Q1 FY2026 (June-August 2025) generated revenue of $11.7 billion, followed by Q2 FY2026 (September-November 2025) at $12.4 billion, representing a 6.0% sequential increase. However, Q3 FY2026 (December 2025-February 2026) saw revenue fall to $11.3 billion, a decline of 9.3% from Q2 levels.</w:t>
      </w:r>
    </w:p>
    <w:p>
      <w:r>
        <w:rPr>
          <w:b w:val="0"/>
        </w:rPr>
        <w:t>The Q2 to Q3 sequential decline of approximately $1.1 billion is noteworthy, as it reverses the positive momentum from Q1 to Q2. This may reflect seasonal patterns in consumer spending, inventory management adjustments, or shifting consumer preferences within the athletic apparel and footwear categories. The year-to-date cumulative revenue of $35.4 billion through Q3 compares to the full FY2025 figure of $46.3 billion, indicating that approximately 76.5% of the prior year's revenue has been generated through nine months.</w:t>
      </w:r>
    </w:p>
    <w:p>
      <w:r>
        <w:rPr>
          <w:b w:val="0"/>
        </w:rPr>
        <w:t>Compared to the prior-year nine-month period (Q3 FY2025 YTD of $35.2 billion), the current year-to-date revenue of $35.4 billion represents modest growth of approximately 0.6%, suggesting that NIKE's top-line expansion has largely stalled on a year-over-year basis. The sustainability of the Q2 revenue spike and reasons behind the Q3 pullback merit close monitoring in the upcoming Q4 results.</w:t>
      </w:r>
    </w:p>
    <w:p>
      <w:pPr>
        <w:pStyle w:val="Heading1"/>
      </w:pPr>
      <w:r>
        <w:t>Profitability Assessment</w:t>
      </w:r>
    </w:p>
    <w:p>
      <w:r>
        <w:rPr>
          <w:b w:val="0"/>
        </w:rPr>
        <w:t>Gross profit trends reveal margin compression through FY2026. Q1 FY2026 gross profit was $4.9 billion on revenue of $11.7 billion, yielding a gross margin of approximately 42.2%. Q2 FY2026 gross profit improved to $5.0 billion on $12.4 billion in revenue, maintaining a margin of approximately 40.6%. Q3 FY2026 gross profit fell to $4.5 billion on $11.3 billion in revenue, with the margin declining to approximately 40.1%.</w:t>
      </w:r>
    </w:p>
    <w:p>
      <w:r>
        <w:rPr>
          <w:b w:val="0"/>
        </w:rPr>
        <w:t>The sequential gross margin decline from 42.2% in Q1 to 40.1% in Q3 represents approximately 210 basis points of compression over two quarters. Cost of goods sold as a percentage of revenue has been rising, with Q1 COGS at $6.8 billion (57.8% of revenue), Q2 at $7.4 billion (59.4%), and Q3 at $6.7 billion (59.9%). This upward trend in cost ratios suggests input cost pressures or promotional activity affecting pricing power.</w:t>
      </w:r>
    </w:p>
    <w:p>
      <w:r>
        <w:rPr>
          <w:b w:val="0"/>
        </w:rPr>
        <w:t>Selling, general and administrative expenses have remained relatively stable on a quarterly basis, ranging from approximately $4.0 billion to $4.0 billion across the three quarters (Q1: $4.0B, Q2: $4.0B, Q3: $4.0B). The YTD SG&amp;A of $12.0 billion compares to the FY2025 full-year figure of $16.1 billion, indicating that SG&amp;A is tracking roughly in line with prior-year levels. Net income has declined sequentially from $727 million in Q1 to $792 million in Q2 and down to $520 million in Q3, reflecting the combined impact of revenue variability and margin pressure on bottom-line results.</w:t>
      </w:r>
    </w:p>
    <w:p>
      <w:pPr>
        <w:pStyle w:val="Heading1"/>
      </w:pPr>
      <w:r>
        <w:t>Balance Sheet Highlights</w:t>
      </w:r>
    </w:p>
    <w:p>
      <w:r>
        <w:rPr>
          <w:b w:val="0"/>
        </w:rPr>
        <w:t>NIKE's total assets have exhibited modest fluctuation across FY2026 quarters. Total assets stood at $37.3 billion at the end of Q1 FY2026, increased to $37.8 billion at Q2, and then declined to $37.1 billion by the end of Q3 FY2026. This compares to $36.6 billion at the end of FY2025, suggesting a modest net increase of approximately $0.5 billion in total asset base from the prior year-end.</w:t>
      </w:r>
    </w:p>
    <w:p>
      <w:r>
        <w:rPr>
          <w:b w:val="0"/>
        </w:rPr>
        <w:t>Stockholders' equity has grown steadily from $13.2 billion at FY2025 year-end to $13.5 billion in Q1, $14.1 billion in Q2, and $14.1 billion in Q3 FY2026. The $876 million increase in equity from FY2025 year-end reflects retained earnings accumulation partially offset by shareholder returns through dividends and share repurchases.</w:t>
      </w:r>
    </w:p>
    <w:p>
      <w:r>
        <w:rPr>
          <w:b w:val="0"/>
        </w:rPr>
        <w:t>Cash and cash equivalents have declined from $7.5 billion at FY2025 year-end to $7.0 billion in Q1, $7.0 billion in Q2, and further to $6.7 billion by Q3 FY2026. The $804 million reduction in cash over the first three quarters may reflect capital expenditures, debt servicing, shareholder returns, or working capital changes. Despite this drawdown, NIKE maintains a substantial cash position that provides financial flexibility. The company's liquidity profile, with $6.7 billion in cash against $14.1 billion in equity, indicates a healthy financial foundation.</w:t>
      </w:r>
    </w:p>
    <w:p>
      <w:pPr>
        <w:pStyle w:val="Heading1"/>
      </w:pPr>
      <w:r>
        <w:t>Key Metrics Summary</w:t>
      </w:r>
    </w:p>
    <w:p>
      <w:r>
        <w:rPr>
          <w:b w:val="0"/>
        </w:rPr>
        <w:t>The following table summarizes NIKE's key quarterly financial metrics for FY2026 (Q1 through Q3) based on single-quarter data from the attached financial data package. All figures are presented in billions of US dollars except diluted EPS, which is stated on a per-share basis.</w:t>
      </w:r>
    </w:p>
    <w:p>
      <w:pPr>
        <w:pStyle w:val="Heading1"/>
      </w:pPr>
      <w:r>
        <w:t>Investment Considerations</w:t>
      </w:r>
    </w:p>
    <w:p>
      <w:r>
        <w:rPr>
          <w:b w:val="0"/>
        </w:rPr>
        <w:t>On the positive side, NIKE maintains a fortress balance sheet with $14.1 billion in stockholders' equity and $6.7 billion in cash, providing ample financial flexibility to navigate current challenges. The company's brand portfolio remains among the most recognized globally in the athletic footwear and apparel category. Year-to-date revenue of $35.4 billion through Q3 FY2026 is essentially flat to the prior-year comparable period of $35.2 billion, indicating that NIKE has maintained its revenue base despite broader consumer discretionary headwinds.</w:t>
      </w:r>
    </w:p>
    <w:p>
      <w:r>
        <w:rPr>
          <w:b w:val="0"/>
        </w:rPr>
        <w:t>Key concerns include the sequential revenue decline from Q2 to Q3 FY2026 of 9.3%, which warrants monitoring for signs of sustained demand weakness. Gross margin compression from 42.2% in Q1 to 40.1% in Q3 suggests ongoing cost or pricing pressures that are eroding profitability. The current YTD diluted EPS of $1.38 significantly trails the FY2025 full-year figure of $2.16, and even with a strong Q4, full-year FY2026 EPS may fall below the prior year unless there is a substantial earnings recovery.</w:t>
      </w:r>
    </w:p>
    <w:p>
      <w:r>
        <w:rPr>
          <w:b w:val="0"/>
        </w:rPr>
        <w:t>The decline in cash from $7.5 billion to $6.7 billion over three quarters, while not alarming given the company's overall liquidity, should be assessed in context of management's capital allocation priorities. Investors should monitor Q4 FY2026 results closely for evidence of revenue stabilization, margin recovery, and management's commentary on the demand environment and strategic initiatives to restore growth momentum.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