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Analysis of Mitek Systems v. USAA Federal Circuit Decision</w:t>
      </w:r>
    </w:p>
    <w:p>
      <w:r>
        <w:rPr>
          <w:b/>
        </w:rPr>
        <w:t>TO:</w:t>
        <w:tab/>
      </w:r>
      <w:r>
        <w:t>Partner</w:t>
      </w:r>
    </w:p>
    <w:p>
      <w:r>
        <w:rPr>
          <w:b/>
        </w:rPr>
        <w:t>FROM:</w:t>
        <w:tab/>
      </w:r>
      <w:r>
        <w:t>Senior Associate</w:t>
      </w:r>
    </w:p>
    <w:p>
      <w:r>
        <w:rPr>
          <w:b/>
        </w:rPr>
        <w:t>DATE:</w:t>
        <w:tab/>
      </w:r>
      <w:r>
        <w:t>June 2025</w:t>
      </w:r>
    </w:p>
    <w:p>
      <w:r>
        <w:rPr>
          <w:b/>
        </w:rPr>
        <w:t>RE:</w:t>
        <w:tab/>
      </w:r>
      <w:r>
        <w:t>Analysis of Mitek Systems, Inc. v. United Services Automobile Association, 139 F.4th 1340 (Fed. Cir. 2025)</w:t>
      </w:r>
    </w:p>
    <w:p>
      <w:r>
        <w:t>________________________________________________________________________________</w:t>
      </w:r>
    </w:p>
    <w:p>
      <w:pPr>
        <w:pStyle w:val="Heading1"/>
      </w:pPr>
      <w:r>
        <w:t>I. Introduction</w:t>
      </w:r>
    </w:p>
    <w:p>
      <w:r>
        <w:rPr>
          <w:b w:val="0"/>
        </w:rPr>
        <w:t>This memorandum analyzes the Federal Circuit's decision in Mitek Systems, Inc. v. United Services Automobile Association, 139 F.4th 1340 (Fed. Cir. 2025), decided June 12, 2025. Mitek Systems, Inc. (Mitek) appealed the decision of the United States District Court for the Eastern District of Texas, which dismissed Mitek's declaratory judgment action of non-infringement against United Services Automobile Association (USAA) concerning four patents: U.S. Patent Nos. 8,699,779 (the '779 patent), 9,336,517 (the '517 patent), 9,818,090 (the '090 patent), and 8,977,571 (the '571 patent) (collectively, the patents-in-suit). The district court case was styled No. 2:20-cv-00115-JRG, before Chief Judge J. Rodney Gilstrap.</w:t>
      </w:r>
    </w:p>
    <w:p>
      <w:r>
        <w:rPr>
          <w:b w:val="0"/>
        </w:rPr>
        <w:t>This case returned to the Federal Circuit for the second time, now with an expanded record. In the first appeal, the court vacated the district court's original dismissal for lack of subject-matter jurisdiction, as well as its alternative discretionary dismissal, and remanded for further proceedings. See Mitek Sys., Inc. v. United Servs. Auto. Ass'n, 34 F.4th 1334, 1349 (Fed. Cir. 2022) (Mitek I). On remand, the district court again determined that it lacked subject-matter jurisdiction and would exercise its discretion to decline jurisdiction. The Federal Circuit affirmed.</w:t>
      </w:r>
    </w:p>
    <w:p>
      <w:r>
        <w:rPr>
          <w:b w:val="0"/>
        </w:rPr>
        <w:t>The two central issues on appeal were: (1) whether the district court had subject-matter jurisdiction over Mitek's declaratory judgment action, and (2) whether the district court abused its discretion in declining to exercise jurisdiction even if it existed. This memorandum addresses each issue in turn and concludes with recommendations for Mitek's future litigation strategy.</w:t>
      </w:r>
    </w:p>
    <w:p>
      <w:pPr>
        <w:pStyle w:val="Heading1"/>
      </w:pPr>
      <w:r>
        <w:t>II. Subject-Matter Jurisdiction Analysis</w:t>
      </w:r>
    </w:p>
    <w:p>
      <w:r>
        <w:rPr>
          <w:b w:val="0"/>
        </w:rPr>
        <w:t>The Declaratory Judgment Act provides that "[i]n a case of actual controversy within its jurisdiction . . . any court of the United States . . . may declare the rights and other legal relations of any interested party seeking such declaration." 28 U.S.C. § 2201(a). The threshold question is "whether the facts alleged, under all the circumstances, show that there is a substantial controversy, between parties having adverse legal interests, of sufficient immediacy and reality to warrant the issuance of a declaratory judgment." MedImmune, Inc. v. Genentech, Inc., 549 U.S. 118, 127 (2007). The case-or-controversy inquiry has a dual temporal focus: the plaintiff must establish jurisdiction at the time of filing, and the controversy must remain present throughout the suit. Mitek I, 34 F.4th at 1340.</w:t>
      </w:r>
    </w:p>
    <w:p>
      <w:r>
        <w:rPr>
          <w:b w:val="0"/>
        </w:rPr>
        <w:t>Mitek asserted two bases for jurisdiction: (1) its potential liability for infringement, and (2) the alleged demands for indemnity made by its licensees. With respect to infringement, Mitek argued it had established a reasonable potential of suit for direct, induced, and contributory infringement. The Federal Circuit addressed each type of infringement and ultimately agreed with the district court that Mitek failed to establish a case or controversy.</w:t>
      </w:r>
    </w:p>
    <w:p>
      <w:r>
        <w:rPr>
          <w:b w:val="0"/>
        </w:rPr>
        <w:t>As to direct infringement, the district court determined that "Mitek could not have reasonably apprehended a suit for direct infringement . . . at the time [Mitek's] [c]omplaint was filed." Decision, 2023 WL 2734372, at *19. This finding was based on the parties' own admissions about how the MiSnap product works, how it is implemented by end-user banks, and the evidence presented at trial in the Wells Fargo Case. It is undisputed that USAA has never accused the MiSnap software of satisfying every limitation of any claim. Mitek acknowledged that there is no allegation "that MiSnap alone performs all the asserted limitations of the patents-in-suit." J.A. 2223 n.6. Furthermore, MiSnap is a software development kit that cannot satisfy hardware-related limitations in the asserted claims. The court also rejected Mitek's argument that its own testing could give rise to an apprehension of suit, as Mitek never alleged this in its complaint.</w:t>
      </w:r>
    </w:p>
    <w:p>
      <w:r>
        <w:rPr>
          <w:b w:val="0"/>
        </w:rPr>
        <w:t>With respect to induced infringement, the district court found Microsoft Corp. v. DataTern, Inc., 755 F.3d 899 (Fed. Cir. 2014), particularly relevant. In DataTern, the court found that claim charts that cite exclusively to third-party documentation "do not impliedly assert that [the supplier] induced that infringement." Id. at 905. Similarly here, USAA has never cited to Mitek documentation in its claim charts as evidence of infringement of every element of every asserted claim. Rather, USAA relied on Mitek's documentation for only certain limitations. The court rejected Mitek's argument that it should consider whether the supplier's product is a "material component," noting this is a matter for contributory infringement, not induced infringement.</w:t>
      </w:r>
    </w:p>
    <w:p>
      <w:r>
        <w:rPr>
          <w:b w:val="0"/>
        </w:rPr>
        <w:t>As to contributory infringement, the district court found that "there has never been a suggestion, in claim charts or otherwise, that MiSnap is not suitable for substantial non-infringing uses." Decision, 2023 WL 2734372, at *21. The court noted that USAA itself stated that end-users can customize and use Mitek's software in many ways, including non-infringing ways. Even where practicing the patented method may be the most logical purpose for a product, that does not render alternative uses non-substantial. The court also relied on DataTern's finding that claim charts do not impliedly assert contributory infringement where they do not suggest the software is not a staple article suitable for substantial non-infringing uses.</w:t>
      </w:r>
    </w:p>
    <w:p>
      <w:r>
        <w:rPr>
          <w:b w:val="0"/>
        </w:rPr>
        <w:t>The district court also considered post-complaint evidence. The Wells Fargo litigation settled in early 2021. The court noted that subsequent lawsuits against PNC Bank and Truist Bank involved fewer of the patents-in-suit and less evidence related to MiSnap. Furthermore, during the pendency of the appeal, this court affirmed the PTAB's final written decisions determining that certain claims of the '571 and '779 patents are unpatentable. United Servs. Auto. Ass'n v. PNC Bank N.A., Nos. 2023-2124, 2023-2125, 2025 WL 370141 (Fed. Cir. Feb. 3, 2025). Any case or controversy regarding those claims has been extinguished, and USAA is collaterally estopped from asserting them.</w:t>
      </w:r>
    </w:p>
    <w:p>
      <w:r>
        <w:rPr>
          <w:b w:val="0"/>
        </w:rPr>
        <w:t>Turning to Mitek's second basis for standing—indemnification liability—the Federal Circuit agreed with the district court that Mitek failed to establish a reasonable potential for indemnification liability. The district court reviewed the indemnification agreements Mitek produced on remand and found that each agreement contained applicable carve-outs that precluded a reasonable potential for indemnification liability. Additionally, most of the agreements involved third-party financial services providers who have separate indemnification agreements with end-user banks. Mitek failed to establish a case or controversy between these third-party providers and USAA. The court cited BP Chemicals Ltd. v. Union Carbide Corp., 4 F.3d 975, 981 (Fed. Cir. 1993), for the proposition that an indemnitor may not bring a declaratory action when there is no actual controversy involving the indemnitee.</w:t>
      </w:r>
    </w:p>
    <w:p>
      <w:pPr>
        <w:pStyle w:val="Heading1"/>
      </w:pPr>
      <w:r>
        <w:t>III. Discretionary Dismissal Analysis</w:t>
      </w:r>
    </w:p>
    <w:p>
      <w:r>
        <w:rPr>
          <w:b w:val="0"/>
        </w:rPr>
        <w:t>Even though the Federal Circuit concluded Mitek lacked subject-matter jurisdiction, it also addressed the district court's alternative discretionary dismissal. The Declaratory Judgment Act uses the permissive "may," granting district courts "unique and substantial discretion in deciding whether to declare the rights of litigants." Wilton v. Seven Falls Co., 515 U.S. 277, 286 (1995). However, this discretion is not unlimited—there must be "well-founded reasons for declining to entertain a declaratory judgment action." Capo, Inc. v. Dioptics Med. Prods., 387 F.3d 1352, 1355 (Fed. Cir. 2004).</w:t>
      </w:r>
    </w:p>
    <w:p>
      <w:r>
        <w:rPr>
          <w:b w:val="0"/>
        </w:rPr>
        <w:t>On remand, unlike its original decision, the district court provided detailed, independent analysis separate from its jurisdictional findings. The district court determined that "the best means by which Mitek can defend its software . . . is to intervene, either as of right or permissively, in the next litigation, if any, brought by USAA against a Mitek customer which asserts the [patents-in-suit]." Decision, 2023 WL 2734372, at *26. This reasoning was supported by Ford Motor Co. v. United States, 811 F.3d 1371, 1379-80 (Fed. Cir. 2016), which recognized that district courts may refuse declaratory relief where an alternative remedy is better or more effective.</w:t>
      </w:r>
    </w:p>
    <w:p>
      <w:r>
        <w:rPr>
          <w:b w:val="0"/>
        </w:rPr>
        <w:t>The district court also identified practical challenges with the declaratory judgment action. It "s[aw] no path by which Mitek can litigate this case without extensive involvement by end-user banks, either through third-party discovery or through joining additional parties." Decision, 2023 WL 2734372, at *27. Mitek represented that it licenses MiSnap to over 6,400 end-users. The court noted that indirect infringement cannot exist without direct infringement, requiring investigation into whether end-user banks are direct infringers. Investigation would also be necessary to determine what Mitek knew about each customer's activity and whether Mitek directed or encouraged infringement.</w:t>
      </w:r>
    </w:p>
    <w:p>
      <w:r>
        <w:rPr>
          <w:b w:val="0"/>
        </w:rPr>
        <w:t>The district court also expressed concern about the limited estoppel effect of any judgment. Mitek's complaint sought a declaration not only of its own non-infringement but also that its "customers' use of Mitek's . . . technology has not and does not infringe" the patents-in-suit. J.A. 90 ¶ 37. However, since banks customize MiSnap to fit their own needs, "a determination of whether a component of Mitek's software, sold as-is, infringes the [patents-in-suit] will have no bearing and no estoppel effect on whether a modified version of the same component is infringing." Decision, 2023 WL 2734372, at *26.</w:t>
      </w:r>
    </w:p>
    <w:p>
      <w:r>
        <w:rPr>
          <w:b w:val="0"/>
        </w:rPr>
        <w:t>The Federal Circuit found no abuse of discretion in the district court's determination. Mitek argued that the district court failed to address whether Mitek could intervene and whether intervention would provide adequate relief. The court disagreed, noting that Mitek itself conceded during the Rule 12(b)(1) motion hearing that it "could have permissively asked to intervene" in the Wells Fargo action but did not. The court also rejected Mitek's argument that intervention disadvantages such as deadlines and costs undermined the analysis, as these concerns exist in all cases.</w:t>
      </w:r>
    </w:p>
    <w:p>
      <w:pPr>
        <w:pStyle w:val="Heading1"/>
      </w:pPr>
      <w:r>
        <w:t>IV. Conclusion and Recommendations</w:t>
      </w:r>
    </w:p>
    <w:p>
      <w:r>
        <w:rPr>
          <w:b w:val="0"/>
        </w:rPr>
        <w:t>The Federal Circuit affirmed the district court's dismissal of Mitek's declaratory judgment action on two independent grounds. First, the court concluded that the district court lacked subject-matter jurisdiction because Mitek failed to establish a reasonable potential for infringement claims (direct, induced, or contributory) or indemnification liability. Second, even if jurisdiction existed, the district court did not abuse its discretion in declining to exercise it, as intervention in future customer litigation was the better alternative.</w:t>
      </w:r>
    </w:p>
    <w:p>
      <w:r>
        <w:rPr>
          <w:b w:val="0"/>
        </w:rPr>
        <w:t>Based on this decision, we recommend that Mitek take the following steps. First, Mitek should monitor any future litigation between USAA and Mitek's customers. If USAA files suit against a Mitek customer asserting the patents-in-suit, Mitek should promptly move to intervene. Federal Rule of Civil Procedure 24(a) provides for intervention of right where the intervenor "claims an interest relating to the property or transaction that is the subject of the action" and resolving the action "may as a practical matter impair or impede the movant's ability to protect its interest." Permissive intervention under Rule 24(b) requires only that the intervenor "has a claim or defense that shares with the main action a common question of law or fact."</w:t>
      </w:r>
    </w:p>
    <w:p>
      <w:r>
        <w:rPr>
          <w:b w:val="0"/>
        </w:rPr>
        <w:t>Second, Mitek should be aware that certain claims of the '571 and '779 patents have been invalidated by the PTAB, with this court's affirmance. United Servs. Auto. Ass'n v. PNC Bank N.A., Nos. 2023-2124, 2023-2125, 2025 WL 370141 (Fed. Cir. Feb. 3, 2025). USAA is collaterally estopped from asserting those claims in any further proceeding. This narrows the scope of potential future litigation.</w:t>
      </w:r>
    </w:p>
    <w:p>
      <w:r>
        <w:rPr>
          <w:b w:val="0"/>
        </w:rPr>
        <w:t>Third, Mitek should consider entering into common interest agreements with its customers early in any litigation to facilitate cooperation and information sharing. The district court noted that Mitek entered into a common interest agreement with Wells Fargo nearly 13 months before trial, suggesting such arrangements are feasible and beneficial.</w:t>
      </w:r>
    </w:p>
    <w:p>
      <w:r>
        <w:rPr>
          <w:b w:val="0"/>
        </w:rPr>
        <w:t>Finally, while the declaratory judgment action was unsuccessful, the decision does not foreclose Mitek's ability to defend its software. As the district court recognized, Mitek "is likely in the best position to defend its own software," and intervention provides an avenue to obtain the determination it seeks. We recommend proactive engagement with any future customer litigation to protect Mitek's interests.</w:t>
      </w:r>
    </w:p>
    <w:p/>
    <w:p>
      <w:r>
        <w:t>Prepared by Senior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