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People v. Curiel Analysis</w:t>
      </w:r>
    </w:p>
    <w:p>
      <w:r>
        <w:rPr>
          <w:b/>
        </w:rPr>
        <w:t>TO:</w:t>
        <w:tab/>
      </w:r>
      <w:r>
        <w:t>Supervising Attorney, Criminal Appellate Division</w:t>
      </w:r>
    </w:p>
    <w:p>
      <w:r>
        <w:rPr>
          <w:b/>
        </w:rPr>
        <w:t>FROM:</w:t>
        <w:tab/>
      </w:r>
      <w:r>
        <w:t>Associate Attorney</w:t>
      </w:r>
    </w:p>
    <w:p>
      <w:r>
        <w:rPr>
          <w:b/>
        </w:rPr>
        <w:t>RE:</w:t>
        <w:tab/>
      </w:r>
      <w:r>
        <w:t>Analysis of People v. Curiel (2023) 315 Cal. Rptr. 3d 495 – Impact on Senate Bill 1437 Resentencing Petitions</w:t>
      </w:r>
    </w:p>
    <w:p>
      <w:r>
        <w:t>________________________________________________________________________________</w:t>
      </w:r>
    </w:p>
    <w:p>
      <w:pPr>
        <w:pStyle w:val="Heading1"/>
      </w:pPr>
      <w:r>
        <w:t>MEMORANDUM</w:t>
      </w:r>
    </w:p>
    <w:p>
      <w:r>
        <w:rPr>
          <w:b w:val="0"/>
        </w:rPr>
        <w:t>TO: Supervising Attorney, Criminal Appellate Division</w:t>
      </w:r>
    </w:p>
    <w:p>
      <w:r>
        <w:rPr>
          <w:b w:val="0"/>
        </w:rPr>
        <w:t>FROM: Associate Attorney</w:t>
      </w:r>
    </w:p>
    <w:p>
      <w:r>
        <w:rPr>
          <w:b w:val="0"/>
        </w:rPr>
        <w:t>DATE: [Current Date]</w:t>
      </w:r>
    </w:p>
    <w:p>
      <w:r>
        <w:rPr>
          <w:b w:val="0"/>
        </w:rPr>
        <w:t>RE: Analysis of People v. Curiel (2023) 315 Cal. Rptr. 3d 495 – Impact on Senate Bill 1437 Resentencing Petitions</w:t>
      </w:r>
    </w:p>
    <w:p>
      <w:pPr>
        <w:pStyle w:val="Heading2"/>
      </w:pPr>
      <w:r>
        <w:t>I. EXECUTIVE SUMMARY</w:t>
      </w:r>
    </w:p>
    <w:p>
      <w:r>
        <w:rPr>
          <w:b w:val="0"/>
        </w:rPr>
        <w:t>In People v. Curiel, the California Supreme Court addressed the effect of a jury's true finding on a gang-murder special circumstance allegation—specifically its finding that the defendant intended to kill—on the defendant's ability to state a prima facie case for resentencing relief under Senate Bill 1437. The Court held that while the jury's intent to kill finding is entitled to preclusive effect under traditional issue preclusion principles, it does not by itself conclusively establish that a petitioner is ineligible for relief. The Court identified three critical holdings relevant to our SB 1437 practice: (1) jury findings of intent to kill meet the threshold requirements for issue preclusion but require examination of equitable exceptions; (2) a prima facie case under section 1172.6 requires more than a showing of intent to kill when the defendant was convicted under the now-invalid natural and probable consequences doctrine; and (3) the mens rea for direct aiding and abetting murder requires knowledge of the perpetrator's intent to commit murder and intent to aid in that specific crime, not merely intent to kill. This analysis provides guidance for evaluating our clients' petitions.</w:t>
      </w:r>
    </w:p>
    <w:p>
      <w:pPr>
        <w:pStyle w:val="Heading2"/>
      </w:pPr>
      <w:r>
        <w:t>II. BACKGROUND</w:t>
      </w:r>
    </w:p>
    <w:p>
      <w:r>
        <w:rPr>
          <w:b w:val="0"/>
        </w:rPr>
        <w:t>A. Factual Background</w:t>
      </w:r>
    </w:p>
    <w:p>
      <w:r>
        <w:rPr>
          <w:b w:val="0"/>
        </w:rPr>
        <w:t>In 2006, a jury convicted Freddy Alfredo Curiel of first degree murder (Pen. Code, § 187, subd. (a)) and found true the gang-murder special circumstance allegation (§ 190.2, subd. (a)(22)) and the criminal street gang sentencing enhancement (§ 186.22, subd. (b)(1)). The jury also found true two firearm enhancements (§ 12022.53, subds. (d), (e)) and convicted Curiel of active participation in a criminal street gang (§ 186.22, subd. (a)). The trial court sentenced Curiel to life imprisonment without the possibility of parole, consecutive to an indeterminate term of 25 years to life in prison. People v. Curiel (2023) 315 Cal. Rptr. 3d 495, 498.</w:t>
      </w:r>
    </w:p>
    <w:p>
      <w:r>
        <w:rPr>
          <w:b w:val="0"/>
        </w:rPr>
        <w:t>The prosecution's theory included both direct aiding and abetting and the natural and probable consequences doctrine. The prosecution argued that Curiel had instigated the confrontation with the victim, Cesar Tejada, and was present to provide 'backup' for co-defendant Abraham Hernandez. The prosecution's gang expert testified that Curiel would have been expected to provide backup to Hernandez during the confrontation with Tejada, and that the shooting was done for the benefit of or in association with the O.T.H. criminal street gang. Id. at 502-504.</w:t>
      </w:r>
    </w:p>
    <w:p>
      <w:r>
        <w:rPr>
          <w:b w:val="0"/>
        </w:rPr>
        <w:t>B. Procedural History</w:t>
      </w:r>
    </w:p>
    <w:p>
      <w:r>
        <w:rPr>
          <w:b w:val="0"/>
        </w:rPr>
        <w:t>Following the enactment of Senate Bill 1437 in 2018, Curiel petitioned for resentencing under former section 1170.95, subdivision (a) (now section 1172.6, subdivision (a)). He alleged he had been convicted of first degree murder under the natural and probable consequences doctrine and could not currently be convicted of murder because of changes to the murder statutes enacted by Senate Bill 1437. The trial court denied the petition at the prima facie stage, believing the jury's finding that Curiel 'inten[ded] to kill,' which was required for the gang-murder special circumstance, refuted Curiel's allegation. Id. at 499.</w:t>
      </w:r>
    </w:p>
    <w:p>
      <w:r>
        <w:rPr>
          <w:b w:val="0"/>
        </w:rPr>
        <w:t>The Court of Appeal reversed, holding that the jury's intent to kill finding was insufficient, by itself, to establish that Curiel was liable for murder under current law. The court explained that 'to convict a defendant for first degree murder under the theory of direct aiding and abetting, the prosecution must prove more than just murderous intent.' Id. at 509. The California Supreme Court granted review. Id.</w:t>
      </w:r>
    </w:p>
    <w:p>
      <w:r>
        <w:rPr>
          <w:b w:val="0"/>
        </w:rPr>
        <w:t>C. Senate Bill 1437 and Section 1172.6</w:t>
      </w:r>
    </w:p>
    <w:p>
      <w:r>
        <w:rPr>
          <w:b w:val="0"/>
        </w:rPr>
        <w:t>Senate Bill 1437 was enacted 'to more equitably sentence offenders in accordance with their involvement in homicides.' Stats. 2018, ch. 1015, § 1(b). The legislation 'amend[ed] the felony murder rule and the natural and probable consequences doctrine, as it relates to murder, to ensure that murder liability is not imposed on a person who is not the actual killer, did not act with the intent to kill, or was not a major participant in the underlying felony who acted with reckless indifference to human life.' Stats. 2018, ch. 1015, § 1(f), quoted in Curiel, 315 Cal. Rptr. 3d at 510.</w:t>
      </w:r>
    </w:p>
    <w:p>
      <w:r>
        <w:rPr>
          <w:b w:val="0"/>
        </w:rPr>
        <w:t>Senate Bill 1437 created a procedural mechanism under section 1172.6 for those convicted of felony murder or murder under the natural and probable consequences doctrine to seek relief. Id. at 512. The statute requires a petitioner to file a petition containing a declaration that all requirements for eligibility are met, including that 'the petitioner could not presently be convicted of murder or attempted murder because of changes to Section 188 or 189 made effective January 1, 2019.' § 1172.6, subd. (a)(3), quoted in Curiel, 315 Cal. Rptr. 3d at 513.</w:t>
      </w:r>
    </w:p>
    <w:p>
      <w:pPr>
        <w:pStyle w:val="Heading2"/>
      </w:pPr>
      <w:r>
        <w:t>III. ANALYSIS</w:t>
      </w:r>
    </w:p>
    <w:p>
      <w:r>
        <w:rPr>
          <w:b w:val="0"/>
        </w:rPr>
        <w:t>A. Preclusive Effect of Intent to Kill Findings</w:t>
      </w:r>
    </w:p>
    <w:p>
      <w:r>
        <w:rPr>
          <w:b w:val="0"/>
        </w:rPr>
        <w:t>The Supreme Court held that the jury's intent to kill finding was properly given preclusive effect in resentencing proceedings under traditional issue preclusion (collateral estoppel) principles. Id. at 514-515. The Court applied the five traditional threshold requirements: (1) the issue sought to be precluded must be identical to that decided in a former proceeding; (2) the issue must have been actually litigated; (3) it must have been necessarily decided; (4) the decision must be final and on the merits; and (5) the party against whom preclusion is sought must be the same as, or in privity with, the party to the former proceeding. Id. at 515-516 (citing Murray v. Alaska Airlines, Inc. (2010) 50 Cal.4th 860, 864).</w:t>
      </w:r>
    </w:p>
    <w:p>
      <w:r>
        <w:rPr>
          <w:b w:val="0"/>
        </w:rPr>
        <w:t>The Court rejected Curiel's argument that his intent to kill was not actually litigated because his counsel did not specifically address the special circumstance in closing argument. The Court held that 'this element of issue preclusion requires only the opportunity to litigate, not whether the litigant availed himself or herself of the opportunity.' Id. at 517 (quoting Murray v. Alaska Airlines, Inc., supra, 50 Cal.4th at p. 869). Curiel had disputed the issue by pleading not guilty, and the dispute was submitted to the jury for decision. Id.</w:t>
      </w:r>
    </w:p>
    <w:p>
      <w:r>
        <w:rPr>
          <w:b w:val="0"/>
        </w:rPr>
        <w:t>The Court also rejected the argument that the intent to kill finding was not necessarily decided. The special circumstance instructions separately required the jury to find that Curiel intended to kill, and the prosecutor explained this requirement to the jury in closing arguments: 'Remember, we talked about for both special circumstance[s] you can find the defendant guilty of first degree murder. That doesn't automatically make the special circumstance true. You have to also determine if I prove to you beyond a reasonable doubt that he had the intent to kill.' Id. at 518. By finding the special circumstance allegation true, the jury necessarily decided that Curiel intended to kill. Id.</w:t>
      </w:r>
    </w:p>
    <w:p>
      <w:r>
        <w:rPr>
          <w:b w:val="0"/>
        </w:rPr>
        <w:t>However, the Court emphasized that satisfying the threshold requirements is not always sufficient: 'Even if the threshold requirements are satisfied, the doctrine will not be applied if such application would not serve its underlying fundamental principles of promoting efficiency while ensuring fairness to the parties.' Id. at 519 (quoting People v. Strong (2022) 13 Cal.5th 698, 716). The Court examined whether the 'significant change in the law' equitable exception applied, finding that Curiel had not identified any change in the law governing the intent to kill standard that would justify departure from general preclusion principles. Id. at 520-521.</w:t>
      </w:r>
    </w:p>
    <w:p>
      <w:r>
        <w:rPr>
          <w:b w:val="0"/>
        </w:rPr>
        <w:t>The Court specifically rejected the argument that People v. Sanchez (2016) 63 Cal.4th 665, which narrowed the permissible scope of expert testimony, provided sufficient basis for an equitable exception. Even assuming such a change could be sufficient, Curiel had not shown 'there has been a significant change in the law that would have resulted in a different factual finding under the law as it exists today.' Id. at 522. The Court found 'no reasonable likelihood that the jury's substantive finding in this case would have been different if Sanchez had been the law during Curiel's trial.' Id. at 524.</w:t>
      </w:r>
    </w:p>
    <w:p>
      <w:r>
        <w:rPr>
          <w:b w:val="0"/>
        </w:rPr>
        <w:t>B. Prima Facie Requirements Under Section 1172.6</w:t>
      </w:r>
    </w:p>
    <w:p>
      <w:r>
        <w:rPr>
          <w:b w:val="0"/>
        </w:rPr>
        <w:t>The Supreme Court clarified that an intent to kill finding does not by itself conclusively establish that a petitioner is ineligible for resentencing relief. Id. at 530. The Court rejected the Attorney General's argument that the jury's intent to kill finding precluded Curiel from making the required allegation under section 1172.6, subdivision (a)(3). The Court held that 'a petitioner who alleges that he or she could not currently be convicted of a homicide offense because of changes to Section 188 or 189 made effective January 1, 2019 puts at issue all the elements of the offense under a valid theory.' Id. at 533.</w:t>
      </w:r>
    </w:p>
    <w:p>
      <w:r>
        <w:rPr>
          <w:b w:val="0"/>
        </w:rPr>
        <w:t>The Court explained that the amendments to section 188 concerning malice 'had broader effects on the substantive law of murder than a narrow reading would suggest.' Id. at 533. Senate Bill 1437 'imposed a new requirement that, except in cases of felony murder, a principal in a crime shall act with malice aforethought to be convicted of murder.' § 188, subd. (a)(3), quoted in Curiel, 315 Cal. Rptr. 3d at 511. 'Malice shall not be imputed to a person based solely on his or her participation in a crime.' § 188, subd. (a)(3).</w:t>
      </w:r>
    </w:p>
    <w:p>
      <w:r>
        <w:rPr>
          <w:b w:val="0"/>
        </w:rPr>
        <w:t>One effect of this requirement was to eliminate liability for murder as an aider and abettor under the natural and probable consequences doctrine. Id. at 511 (citing People v. Gentile (2020) 10 Cal.5th 830, 846). The Court held: 'After the enactment of Senate Bill 1437, a defendant cannot be convicted of murder based on the doctrine of natural and probable consequences, even with a showing of malice aforethought. It is an invalid theory.' Id. at 532 (citing People v. Gentile, supra, 10 Cal.5th at p. 849).</w:t>
      </w:r>
    </w:p>
    <w:p>
      <w:r>
        <w:rPr>
          <w:b w:val="0"/>
        </w:rPr>
        <w:t>C. Direct Aiding and Abetting Mens Rea Requirements</w:t>
      </w:r>
    </w:p>
    <w:p>
      <w:r>
        <w:rPr>
          <w:b w:val="0"/>
        </w:rPr>
        <w:t>The Court analyzed the elements required for murder liability under the theory of direct aiding and abetting, distinguishing them from the now-invalid natural and probable consequences doctrine. The Court explained that 'under direct aiding and abetting principles, an accomplice is guilty of an offense perpetrated by another [e.g., murder] if the accomplice aids the commission of that offense with knowledge of the direct perpetrator's unlawful intent and an intent to assist in achieving those unlawful ends.' Id. at 534 (quoting People v. Gentile, supra, 10 Cal.5th at p. 843).</w:t>
      </w:r>
    </w:p>
    <w:p>
      <w:r>
        <w:rPr>
          <w:b w:val="0"/>
        </w:rPr>
        <w:t>The Court identified three distinct areas requiring proof for aider and abettor liability: '(a) the direct perpetrator's actus reus—a crime committed by the direct perpetrator, (b) the aider and abettor's mens rea, and (c) the aider and abettor's actus reus—conduct by the aider and abettor that in fact assists the achievement of the crime.' Id. at 539 (quoting People v. Perez (2005) 35 Cal.4th 1219, 1225).</w:t>
      </w:r>
    </w:p>
    <w:p>
      <w:r>
        <w:rPr>
          <w:b w:val="0"/>
        </w:rPr>
        <w:t>Critically, the Court held that the jury instructions in Curiel's case did not require the jury to make findings covering all elements of direct aiding and abetting murder. Under the natural and probable consequences instructions, 'the jury was required to find only that Curiel knew that Hernandez intended to commit one of the underlying target offenses and that Curiel intended to aid him in that offense, not murder.' Id. at 541. The Court emphasized: 'The jury was not required to find that the underlying target offenses, themselves, were dangerous to human life.' Id.</w:t>
      </w:r>
    </w:p>
    <w:p>
      <w:r>
        <w:rPr>
          <w:b w:val="0"/>
        </w:rPr>
        <w:t>The Court explained that '[a]lthough intent to kill is certainly blameworthy, it is insufficient standing alone to render a person culpable for another's acts.' Id. at 542. The aider and abettor must 'know the direct perpetrator intends to commit the murder or life-endangering act and intend to aid the direct perpetrator in its commission.' Id. This mental relationship to the perpetrator's acts is what confers liability. Id. (citing People v. Chiu (2014) 59 Cal.4th 155, 167; People v. Perez, supra, 35 Cal.4th at p. 1225).</w:t>
      </w:r>
    </w:p>
    <w:p>
      <w:r>
        <w:rPr>
          <w:b w:val="0"/>
        </w:rPr>
        <w:t>The Court distinguished People v. McCoy (2001) 25 Cal.4th 1111, explaining that even where an aider and abettor may be guilty of a greater offense than the actual perpetrator based on a more culpable mens rea, 'the traditional mens rea required for aiding and abetting murder' is still required. Id. at 543-544. In McCoy, the jury found the aider and abettor had 'acted with the necessary mental state of an aider and abettor' and 'knew of [the direct perpetrator's] unlawful purpose and intended to commit, encourage, or facilitate that purpose.' Id. at 544. The jury in Curiel was not required to make such findings. Id.</w:t>
      </w:r>
    </w:p>
    <w:p>
      <w:r>
        <w:rPr>
          <w:b w:val="0"/>
        </w:rPr>
        <w:t>D. Application to Our Pending Petitions</w:t>
      </w:r>
    </w:p>
    <w:p>
      <w:r>
        <w:rPr>
          <w:b w:val="0"/>
        </w:rPr>
        <w:t>The Curiel decision provides several important guidelines for evaluating our clients' SB 1437 petitions. First, where our clients were convicted under the natural and probable consequences doctrine and have a true finding on a special circumstance allegation including intent to kill, that finding will likely be given preclusive effect. However, the intent to kill finding alone does not establish ineligibility for relief. Id. at 530.</w:t>
      </w:r>
    </w:p>
    <w:p>
      <w:r>
        <w:rPr>
          <w:b w:val="0"/>
        </w:rPr>
        <w:t>Second, the trial court must examine the entire record of conviction, including the jury instructions and verdicts, to determine whether the jury necessarily made findings covering all elements of murder under a valid theory. Id. at 535-536. If the jury could have relied on the now-invalid natural and probable consequences doctrine, the findings required under that theory—even combined with an intent to kill finding—may not encompass all elements of any valid theory of murder under current law. Id. at 546.</w:t>
      </w:r>
    </w:p>
    <w:p>
      <w:r>
        <w:rPr>
          <w:b w:val="0"/>
        </w:rPr>
        <w:t>Third, the mens rea for direct aiding and abetting murder is more demanding than for natural and probable consequences liability. The prosecution must establish that the defendant knew the perpetrator intended to commit murder (not merely the target offense) and intended to aid in that specific crime. Id. at 541. A finding that the defendant intended to kill, standing alone, does not satisfy this requirement. Id. at 542.</w:t>
      </w:r>
    </w:p>
    <w:p>
      <w:pPr>
        <w:pStyle w:val="Heading2"/>
      </w:pPr>
      <w:r>
        <w:t>IV. CONCLUSION</w:t>
      </w:r>
    </w:p>
    <w:p>
      <w:r>
        <w:rPr>
          <w:b w:val="0"/>
        </w:rPr>
        <w:t>The California Supreme Court's decision in People v. Curiel establishes three critical principles for SB 1437 resentencing petitions. First, while jury findings of intent to kill are entitled to preclusive effect under traditional issue preclusion principles, they do not by themselves conclusively establish a petitioner's ineligibility for resentencing relief. The trial court must consider all elements of murder under a valid theory. Second, at the prima facie stage, the court must accept as true a petitioner's allegation that he or she could not currently be convicted of murder because of changes to sections 188 or 189, unless the record of conviction conclusively establishes every element of the offense under a valid theory. Third, the mens rea for direct aiding and abetting murder requires knowledge of the perpetrator's intent to commit murder and intent to aid in that specific crime, not merely intent to kill.</w:t>
      </w:r>
    </w:p>
    <w:p>
      <w:r>
        <w:rPr>
          <w:b w:val="0"/>
        </w:rPr>
        <w:t>For our pending petitions, we should evaluate each case to determine whether the jury was instructed on the now-invalid natural and probable consequences doctrine and whether the jury's findings, even combined with any intent to kill findings, encompass all elements of murder under a valid theory of direct aiding and abetting or felony murder. Where the jury could have relied on the natural and probable consequences doctrine and did not necessarily make findings on all elements of a valid theory, the petitioner may have a strong prima facie case for relief despite a true finding on a gang-murder special circumstance or other intent to kill finding.</w:t>
      </w:r>
    </w:p>
    <w:p>
      <w:r>
        <w:rPr>
          <w:b w:val="0"/>
        </w:rPr>
        <w:t>We should be prepared to argue that the trial court must conduct a careful examination of the jury instructions and verdicts in each case before denying a petition at the prima facie stage. As the Court emphasized, '[i]f only one element of the offense is established by the record, the petitioner could still be correct that he or she could not currently be convicted of the relevant offense based on the absence of other elements.' Id. at 533. This analysis should guide our evaluation of all pending SB 1437 petitions.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