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 Kennedy v. Braidwood Management, Inc.</w:t>
      </w:r>
    </w:p>
    <w:p>
      <w:r>
        <w:rPr>
          <w:b/>
        </w:rPr>
        <w:t>TO:</w:t>
        <w:tab/>
      </w:r>
      <w:r>
        <w:t>Senior Partner</w:t>
      </w:r>
    </w:p>
    <w:p>
      <w:r>
        <w:rPr>
          <w:b/>
        </w:rPr>
        <w:t>FROM:</w:t>
        <w:tab/>
      </w:r>
      <w:r>
        <w:t>Associate, Supreme Court &amp; Appellate Litigation Practice Group</w:t>
      </w:r>
    </w:p>
    <w:p>
      <w:r>
        <w:rPr>
          <w:b/>
        </w:rPr>
        <w:t>DATE:</w:t>
        <w:tab/>
      </w:r>
      <w:r>
        <w:t>July 2025</w:t>
      </w:r>
    </w:p>
    <w:p>
      <w:r>
        <w:rPr>
          <w:b/>
        </w:rPr>
        <w:t>RE:</w:t>
        <w:tab/>
      </w:r>
      <w:r>
        <w:t>Kennedy v. Braidwood Management, Inc., 606 U.S. 748 (2025) — Summary and Analysis</w:t>
      </w:r>
    </w:p>
    <w:p>
      <w:r>
        <w:t>________________________________________________________________________________</w:t>
      </w:r>
    </w:p>
    <w:p>
      <w:pPr>
        <w:pStyle w:val="Heading1"/>
      </w:pPr>
      <w:r>
        <w:t>I. Case Overview</w:t>
      </w:r>
    </w:p>
    <w:p>
      <w:r>
        <w:rPr>
          <w:b w:val="0"/>
        </w:rPr>
        <w:t>This memorandum analyzes the Supreme Court's decision in Kennedy v. Braidwood Management, Inc., 606 U.S. 748 (2025), decided on June 27, 2025. Justice Kavanaugh delivered the opinion of the Court, joined by Chief Justice Roberts and Justices Sotomayor, Kagan, Barrett, and Jackson. Justice Thomas filed a dissenting opinion, joined by Justices Alito and Gorsuch.</w:t>
      </w:r>
    </w:p>
    <w:p>
      <w:r>
        <w:rPr>
          <w:b w:val="0"/>
        </w:rPr>
        <w:t>The petitioners are Kennedy, Secretary of Health and Human Services, et al. The respondents are Braidwood Management, Inc., et al. The lead plaintiff, Braidwood Management, operates a health and wellness center that offers health-insurance coverage to its approximately 70 employees through a self-insured plan. Braidwood and the other plaintiffs are individuals and small businesses who object to the Affordable Care Act's preventive-services coverage requirements. They brought suit in the U.S. District Court for the Northern District of Texas.</w:t>
      </w:r>
    </w:p>
    <w:p>
      <w:r>
        <w:rPr>
          <w:b w:val="0"/>
        </w:rPr>
        <w:t>The central constitutional question presented is whether the appointment of members of the U.S. Preventive Services Task Force by the Secretary of Health and Human Services is consistent with the Appointments Clause of Article II, which divides officers into two classes: principal officers and inferior officers. Principal officers must be appointed by the President with the Advice and Consent of the Senate, while inferior officers may be appointed by the President alone or, if Congress so provides by law, by the Heads of Departments.</w:t>
      </w:r>
    </w:p>
    <w:p>
      <w:r>
        <w:rPr>
          <w:b w:val="0"/>
        </w:rPr>
        <w:t>The District Court agreed with Braidwood, holding that Task Force members are principal officers. Braidwood Mgmt. Inc. v. Becerra, 627 F. Supp. 3d 624 (N.D. Tex. 2022). The court recognized that the Secretary of HHS may remove Task Force members at will, but concluded they are principal officers because they "have no superior" who supervises and directs them. Id. at 646. The Fifth Circuit affirmed, holding that the Task Force cannot be "independent" and free from "political pressure" on the one hand, and at the same time be supervised by the HHS Secretary, a political appointee, on the other. Braidwood Mgmt., Inc. v. Becerra, 104 F.4th 930, 944 (5th Cir. 2024).</w:t>
      </w:r>
    </w:p>
    <w:p>
      <w:r>
        <w:rPr>
          <w:b w:val="0"/>
        </w:rPr>
        <w:t>The Supreme Court reversed the Fifth Circuit's judgment and remanded. The Court held that Task Force members are inferior officers because their work is "directed and supervised" by the Secretary of HHS, a principal officer, through two main sources of authority: the Secretary's power to remove Task Force members at will, and the Secretary's statutory authority to review and block Task Force recommendations before they take effect.</w:t>
      </w:r>
    </w:p>
    <w:p>
      <w:pPr>
        <w:pStyle w:val="Heading1"/>
      </w:pPr>
      <w:r>
        <w:t>II. Analysis of Inferior-Officer Status</w:t>
      </w:r>
    </w:p>
    <w:p>
      <w:r>
        <w:rPr>
          <w:b w:val="0"/>
        </w:rPr>
        <w:t>The Court began its analysis by articulating the standard from Edmond v. United States, 520 U.S. 651, 663 (1997): inferior officers are those "whose work is directed and supervised at some level by others who were appointed by Presidential nomination with the advice and consent of the Senate." The Court concluded that Task Force members satisfy this standard through two mutually reinforcing mechanisms: the Secretary's authority to remove them at will, and the Secretary's statutory authority to review and block their recommendations before they take effect.</w:t>
      </w:r>
    </w:p>
    <w:p>
      <w:r>
        <w:rPr>
          <w:b w:val="0"/>
        </w:rPr>
        <w:t>Regarding at-will removal, the Court emphasized that the authority to remove an officer at will is a "powerful tool for control." Edmond, 520 U.S., at 664. An officer's "presumed desire to avoid removal" generally creates "here-and-now subservience." Bowsher v. Synar, 478 U.S. 714, 727, n.5 (1986). The Court explained that when a statute empowers a department head to appoint an officer, the default presumption is that the officer holds his position "at the will and discretion of the head of the department," even if no power to remove is expressly given. Ex parte Hennen, 13 Pet. 230, 259–260 (1839). Because the Secretary of HHS appoints the Task Force members and no statute restricts their removal, the Secretary may remove them at will. The power of removal of executive officers is "incident to the power of appointment." Myers v. United States, 272 U.S. 52, 119 (1926).</w:t>
      </w:r>
    </w:p>
    <w:p>
      <w:r>
        <w:rPr>
          <w:b w:val="0"/>
        </w:rPr>
        <w:t>The Court further explained that the Secretary's at-will removal power, combined with his authority to determine when Task Force recommendations become binding under 42 U.S.C. § 300gg-13(b), allows him to block recommendations he disfavors. During the minimum 1-year interval between when an "A" or "B" recommendation is issued and when it becomes binding, the Secretary can request reconsideration or withdrawal, remove and replace members who refuse, and direct the reconstituted Task Force to modify or rescind the recommendation.</w:t>
      </w:r>
    </w:p>
    <w:p>
      <w:r>
        <w:rPr>
          <w:b w:val="0"/>
        </w:rPr>
        <w:t>The Court then identified a second, independent source of supervisory authority: the Secretary's statutory power to directly review and block Task Force recommendations before they take effect. Several statutes confer this authority. First, 42 U.S.C. § 202 provides that the Public Health Service, which houses the Task Force, "shall be administered . . . under the supervision and direction of the Secretary." Second, Reorganization Plan No. 3 of 1966, ratified by Congress in 1984, grants the Secretary authority to perform "all functions of the Public Health Service" and its "officers," "employees," and "agencies." 80 Stat. 1610. Third, 42 U.S.C. § 300gg-92 states that the Secretary "may promulgate such regulations as may be necessary or appropriate to carry out the provisions of this subchapter," including the section requiring no-cost coverage of Task Force recommendations. The Court noted that the Secretary could use his rulemaking authority to establish a formal review process, such as issuing a regulation providing that no Task Force recommendation shall be deemed "in effect" until reviewed and approved.</w:t>
      </w:r>
    </w:p>
    <w:p>
      <w:r>
        <w:rPr>
          <w:b w:val="0"/>
        </w:rPr>
        <w:t>The Court then demonstrated that its conclusion follows a fortiori from three controlling precedents. In Edmond, Coast Guard judges who were removable at will and whose decisions could be reviewed and reversed were deemed inferior officers, even though superiors could not influence individual proceedings. 520 U.S. at 664–665. In Free Enterprise Fund v. Public Company Accounting Oversight Board, 561 U.S. 477, 510 (2010), PCAOB members removable at will by the SEC were inferior officers, even though they were "empowered to take significant enforcement actions . . . largely independently of the Commission." Id. at 504. And in United States v. Arthrex, 594 U.S. 1 (2021), Administrative Patent Judges whose decisions were reviewable but who were removable only for cause were inferior officers. The Court reasoned that if patent judges subject only to review authority were inferior officers, Task Force members subject to both at-will removal and review authority are "clearly inferior officers."</w:t>
      </w:r>
    </w:p>
    <w:p>
      <w:pPr>
        <w:pStyle w:val="Heading1"/>
      </w:pPr>
      <w:r>
        <w:t>III. Response to Braidwood's Arguments Against Inferior-Officer Status</w:t>
      </w:r>
    </w:p>
    <w:p>
      <w:r>
        <w:rPr>
          <w:b w:val="0"/>
        </w:rPr>
        <w:t>Braidwood raised three arguments against inferior-officer status, all of which the Court rejected. First, Braidwood argued that the Secretary cannot remove Task Force members at will, relying on 42 U.S.C. § 299b-4(a)(6), which states that Task Force members and their recommendations "shall be independent and, to the extent practicable, not subject to political pressure." Braidwood contended that it is impossible for Task Force members to be "independent" if they are removable at will. The Court disagreed, holding that to displace the default of at-will removal, Congress must use "very clear and explicit language" and that "mere inference or implication" does not suffice. Shurtleff v. United States, 189 U.S. 311, 315 (1903). The Court noted that Congress has used express for-cause language in other statutes—for example, limiting removal of FTC Commissioners to "inefficiency, neglect of duty, or malfeasance in office." 15 U.S.C. § 41. The term "independent" alone does not make an officer removable only for cause, as the Court held in Collins v. Yellen, 594 U.S. 220, 248 (2021), where the Court concluded that the challengers read "far too much into the term 'independent.'"</w:t>
      </w:r>
    </w:p>
    <w:p>
      <w:r>
        <w:rPr>
          <w:b w:val="0"/>
        </w:rPr>
        <w:t>Second, Braidwood argued that Task Force members exercise unreviewable authority in making final recommendations. The Court rejected this argument on two grounds. First, the Court read the independence provision to mean that Task Force members must not be unduly influenced by their outside affiliations with universities, hospitals, and professional associations—not that they are completely insulated from the Secretary. The Court noted that Congress's use of the qualifier "to the extent practicable" in § 299b-4(a)(6) "plainly contemplated that insulation from all political pressure would be impracticable." Second, even if "independent" applied to political pressure, it would affect only the formulation of recommendations, not the Secretary's authority to review them before they take effect. This mirrors the "almost-universal model of adjudication in the Executive Branch" where inferior officers make independent initial decisions subject to review by politically accountable superiors. Arthrex, 594 U.S., at 25 (opinion of Roberts, C.J.).</w:t>
      </w:r>
    </w:p>
    <w:p>
      <w:r>
        <w:rPr>
          <w:b w:val="0"/>
        </w:rPr>
        <w:t>Third, Braidwood argued that Task Force members cannot be inferior officers because the Secretary cannot compel the Task Force to issue particular "A" or "B" recommendations. The Court responded that this Court "has not suggested that a principal officer must be able to compel subordinates to take affirmative acts for them to qualify as inferior officers." In Free Enterprise Fund, the SEC lacked power to require the PCAOB to "start" investigations, 561 U.S., at 504, yet PCAOB members were inferior officers. Similarly, in Edmond and Arthrex, superiors could not compel initial decisions. The Court also noted that when the Task Force declines to issue an "A" or "B" recommendation, there is less concern about insufficient supervision because health insurers are free to cover or not cover the preventive service at issue.</w:t>
      </w:r>
    </w:p>
    <w:p>
      <w:pPr>
        <w:pStyle w:val="Heading1"/>
      </w:pPr>
      <w:r>
        <w:t>IV. Appointment Authority Analysis</w:t>
      </w:r>
    </w:p>
    <w:p>
      <w:r>
        <w:rPr>
          <w:b w:val="0"/>
        </w:rPr>
        <w:t>The Court then addressed whether Congress has by law vested appointment authority in the Secretary of HHS, as required by the Appointments Clause. The Court concluded that Congress has done so through two statutory steps. First, the 1999 statute governing the Task Force gives the AHRQ Director the authority to "convene" a Task Force "to be composed of individuals with appropriate expertise." 42 U.S.C. § 299b-4(a)(1). The Court held that the Director's power to "convene" is naturally read to include the power to appoint. Citing NLRB v. SW General, Inc., 580 U.S. 288, 312–313 (2017) (Thomas, J., concurring), the Court noted that around the time of the Founding, "appoint" was synonymous with "allot, assign, or designate." The Court explained that where there is no separate statutory provision specifying who is to appoint the individuals to be called together, "the obvious conclusion is that the person with the power to convene is also the person with the power to appoint."</w:t>
      </w:r>
    </w:p>
    <w:p>
      <w:r>
        <w:rPr>
          <w:b w:val="0"/>
        </w:rPr>
        <w:t>Second, Reorganization Plan No. 3 of 1966, ratified by Congress in the 1984 Act (98 Stat. 2705), transfers to the Secretary "all functions of the Public Health Service" and its "officers," "employees," and "agencies." 80 Stat. 1610. The AHRQ Director is an "officer" of the Public Health Service, so Reorganization Plan No. 3 transfers all of the Director's functions to the Secretary. After statutory codification of the Task Force in 1999, those powers included the AHRQ Director's power to appoint Task Force members. The Court emphasized that the Executive Branch has consistently read the authorization to "convene" the Task Force to include the power to appoint for 26 years since the 1999 codification.</w:t>
      </w:r>
    </w:p>
    <w:p>
      <w:r>
        <w:rPr>
          <w:b w:val="0"/>
        </w:rPr>
        <w:t>The Court rejected Braidwood's argument that the 1999 statute is "agnostic" about who should appoint Task Force members. The Court called this interpretation implausible, reasoning that it would create a "bizarre scheme where Congress was entirely indifferent about who would appoint members making legally binding healthcare recommendations." The Court also rejected the "frozen-in-time" reading of Reorganization Plan No. 3, which would limit the transfer of authority to functions existing as of 1966. The Court held that the language "all functions" most naturally means an ongoing transfer of authority, including new powers granted by Congress after 1966. The Court cited the Dictionary Act, 1 U.S.C. § 1, which provides that "words used in the present tense include the future as well as the present."</w:t>
      </w:r>
    </w:p>
    <w:p>
      <w:r>
        <w:rPr>
          <w:b w:val="0"/>
        </w:rPr>
        <w:t>Finally, the Court applied the canon of constitutional avoidance as articulated in Edmond, 520 U.S. at 658, where the Court held that "we must of course avoid" reading a statute "in a manner that would render it clearly unconstitutional" when "there is another reasonable interpretation available." Reading the statutes to vest appointment authority in the AHRQ Director alone would be unconstitutional since the Director is not a Head of Department. The Court concluded that reading the Reorganization Plan to have transferred the Director's appointment power to the Secretary is at minimum a reasonable interpretation that avoids unconstitutionality.</w:t>
      </w:r>
    </w:p>
    <w:p>
      <w:pPr>
        <w:pStyle w:val="Heading1"/>
      </w:pPr>
      <w:r>
        <w:t>V. Significance and Practical Implications</w:t>
      </w:r>
    </w:p>
    <w:p>
      <w:r>
        <w:rPr>
          <w:b w:val="0"/>
        </w:rPr>
        <w:t>The decision has immediate practical significance for the ongoing validity of Task Force recommendations and the Secretary's authority over the Task Force. While the Government's appeal was pending, the Secretary of HHS in June 2023 ratified existing appointments made by the AHRQ Director and began personally appointing Task Force members. The Court's decision validates these actions, holding that "the Secretary has properly exercised his appointment authority since June 2023." The Court noted that this sequence of events is similar to what occurred in Edmond, where the Secretary of Transportation issued a memorandum "adopting" the Judge Advocate General's appointments as his own after Appointments Clause challenges arose. 520 U.S. at 654.</w:t>
      </w:r>
    </w:p>
    <w:p>
      <w:r>
        <w:rPr>
          <w:b w:val="0"/>
        </w:rPr>
        <w:t>The decision preserves the enforceability of the Affordable Care Act's preventive-services coverage requirements. The Task Force has given an "A" or "B" rating to more than 40 preventive services, including screenings for lung, breast, cervical, and colorectal cancer; risk-reducing medications for women at high risk of breast cancer; nicotine patches; statin medications; physical therapy for the elderly; and diabetes screenings. Under the Court's holding, these recommendations remain valid and enforceable, and health insurers and group health plans must continue to cover these services without cost sharing.</w:t>
      </w:r>
    </w:p>
    <w:p>
      <w:r>
        <w:rPr>
          <w:b w:val="0"/>
        </w:rPr>
        <w:t>Notably, the Court's decision does not affect the separate injunction that Braidwood obtained under the Religious Freedom Restoration Act of 1993, 42 U.S.C. § 2000bb et seq., which prohibited enforcement of the specific requirement that Braidwood cover certain HIV-prevention medications without cost sharing. The Government did not appeal that aspect of the District Court's judgment.</w:t>
      </w:r>
    </w:p>
    <w:p>
      <w:r>
        <w:rPr>
          <w:b w:val="0"/>
        </w:rPr>
        <w:t>The decision has broader significance for the structure of federal advisory bodies and expert agencies. The Court emphasized that the structure of the Task Force "preserves both expertise and accountability" by allowing Task Force members to exercise independent judgment in formulating recommendations while the Secretary maintains authority to review and block them before they take effect. This mirrors the "almost-universal model of adjudication in the Executive Branch" described in Arthrex. The Court's holding ensures the chain of political accountability that the Framers designed in the Appointments Clause: Task Force members are appointed by and supervised by the Secretary of HHS, who in turn answers to the President.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