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Bank of America Corporation</w:t>
      </w:r>
    </w:p>
    <w:p>
      <w:r>
        <w:rPr>
          <w:b/>
        </w:rPr>
        <w:t>TO:</w:t>
        <w:tab/>
      </w:r>
      <w:r>
        <w:t>Head of Credit Risk Management</w:t>
      </w:r>
    </w:p>
    <w:p>
      <w:r>
        <w:rPr>
          <w:b/>
        </w:rPr>
        <w:t>FROM:</w:t>
        <w:tab/>
      </w:r>
      <w:r>
        <w:t>Senior Credit Analyst, Large Corporate Banking</w:t>
      </w:r>
    </w:p>
    <w:p>
      <w:r>
        <w:rPr>
          <w:b/>
        </w:rPr>
        <w:t>DATE:</w:t>
        <w:tab/>
      </w:r>
      <w:r>
        <w:t>May 2026</w:t>
      </w:r>
    </w:p>
    <w:p>
      <w:r>
        <w:rPr>
          <w:b/>
        </w:rPr>
        <w:t>RE:</w:t>
        <w:tab/>
      </w:r>
      <w:r>
        <w:t>Annual Credit Review - Bank of America Corporation (NYSE: BAC) - Credit Facility Review and Renewal Assessment</w:t>
      </w:r>
    </w:p>
    <w:p>
      <w:r>
        <w:t>________________________________________________________________________________</w:t>
      </w:r>
    </w:p>
    <w:p>
      <w:pPr>
        <w:pStyle w:val="Heading1"/>
      </w:pPr>
      <w:r>
        <w:t>Executive Summary</w:t>
      </w:r>
    </w:p>
    <w:p>
      <w:r>
        <w:rPr>
          <w:b w:val="0"/>
        </w:rPr>
        <w:t>This memo presents the annual credit review for Bank of America Corporation (NYSE: BAC), one of the largest bank holding companies in the United States with total assets of approximately $3.50 trillion as of Q1 2026. The analysis covers financial performance, balance sheet strength, liquidity position, and credit risk factors to support the bank's credit facility renewal decision.</w:t>
      </w:r>
    </w:p>
    <w:p>
      <w:r>
        <w:rPr>
          <w:b w:val="0"/>
        </w:rPr>
        <w:t>Credit Recommendation: MAINTAIN current internal credit rating. BAC demonstrates solid earnings momentum with Q1 2026 net income of $8.6 billion representing a 16.2% year-over-year increase from Q1 2025 net income of $7.4 billion. Diluted EPS increased to $1.11 in Q1 2026 from $0.90 in Q1 2025, reflecting consistent shareholder value creation while maintaining adequate capital buffers.</w:t>
      </w:r>
    </w:p>
    <w:p>
      <w:r>
        <w:rPr>
          <w:b w:val="0"/>
        </w:rPr>
        <w:t>Key credit strengths include: (1) consistent revenue growth with Q1 2026 total revenues of $30.3 billion, up 7.1% from Q1 2025; (2) strong profitability with FY 2025 net income of $30.5 billion; (3) a robust equity base of $300.7 billion supporting the $3.50 trillion asset base; and (4) active capital markets engagement evidenced by multiple recent 424B2 prospectus filings.</w:t>
      </w:r>
    </w:p>
    <w:p>
      <w:r>
        <w:rPr>
          <w:b w:val="0"/>
        </w:rPr>
        <w:t>Key credit concerns include: (1) limited visibility into current cash and liquidity positions given that the most recent cash data is from Q3 2020; (2) the need to monitor interest rate sensitivity and deposit competition in the current rate environment; and (3) regulatory capital requirements applicable to systemically important financial institutions.</w:t>
      </w:r>
    </w:p>
    <w:p>
      <w:pPr>
        <w:pStyle w:val="Heading1"/>
      </w:pPr>
      <w:r>
        <w:t>Financial Performance Analysis</w:t>
      </w:r>
    </w:p>
    <w:p>
      <w:r>
        <w:rPr>
          <w:b w:val="0"/>
        </w:rPr>
        <w:t>Bank of America demonstrated solid revenue performance across the available reporting periods. FY 2025 total revenues reached $113.1 billion, reflecting the bank's diversified revenue streams across consumer banking, global wealth and investment management, global banking, and global markets divisions. Q1 2026 revenues of $30.3 billion represent a 7.1% increase from Q1 2025 revenues of $27.4 billion, indicating positive momentum entering the current fiscal year.</w:t>
      </w:r>
    </w:p>
    <w:p>
      <w:r>
        <w:rPr>
          <w:b w:val="0"/>
        </w:rPr>
        <w:t>Quarterly sequential revenue trends show variability consistent with banking sector cyclicality. Q2 2025 standalone revenues were $26.5 billion, while Q3 2025 standalone revenues were $28.1 billion, representing a 6.2% quarter-over-quarter increase. The Q1 2026 figure of $30.3 billion represents the highest quarterly revenue in the dataset, suggesting improving top-line performance.</w:t>
      </w:r>
    </w:p>
    <w:p>
      <w:r>
        <w:rPr>
          <w:b w:val="0"/>
        </w:rPr>
        <w:t>Net income performance has been robust. FY 2025 net income of $30.5 billion represents a strong full-year result. Quarterly net income trends show: Q1 2025 at $7.4 billion, Q2 2025 at $7.1 billion, and Q3 2025 at $8.5 billion. Q1 2026 net income of $8.6 billion represents a 16.2% year-over-year improvement from Q1 2025, indicating strengthening profitability.</w:t>
      </w:r>
    </w:p>
    <w:p>
      <w:r>
        <w:rPr>
          <w:b w:val="0"/>
        </w:rPr>
        <w:t>The net income margin for Q1 2026 was approximately 28.4% ($8.6 billion net income divided by $30.3 billion revenue), compared to approximately 27.0% for FY 2025 ($30.5 billion divided by $113.1 billion). This margin expansion in Q1 2026 is a positive credit signal, suggesting improved operational efficiency or favorable revenue mix.</w:t>
      </w:r>
    </w:p>
    <w:p>
      <w:r>
        <w:rPr>
          <w:b w:val="0"/>
        </w:rPr>
        <w:t>Diluted earnings per share followed a consistent upward trajectory. Q1 2025 EPS was $0.90, Q2 2025 was $0.89, Q3 2025 was $1.06, FY 2025 full year was $3.81, and Q1 2026 reached $1.11. The Q1 2026 EPS represents a 23.3% increase from Q1 2025, outpacing the revenue growth rate and indicating effective capital management and potential share buyback activity.</w:t>
      </w:r>
    </w:p>
    <w:p>
      <w:pPr>
        <w:pStyle w:val="Heading1"/>
      </w:pPr>
      <w:r>
        <w:t>Balance Sheet and Leverage Assessment</w:t>
      </w:r>
    </w:p>
    <w:p>
      <w:r>
        <w:rPr>
          <w:b w:val="0"/>
        </w:rPr>
        <w:t>Bank of America's balance sheet has demonstrated steady growth. Total assets increased from $3,261.5 billion at FY 2024 to $3,411.7 billion at FY 2025, representing 4.6% growth. As of Q1 2026, total assets stood at $3,496.2 billion, an additional 2.5% increase from year-end 2025, indicating continued balance sheet expansion.</w:t>
      </w:r>
    </w:p>
    <w:p>
      <w:r>
        <w:rPr>
          <w:b w:val="0"/>
        </w:rPr>
        <w:t>Total liabilities followed a similar growth trajectory, rising from $2,966.0 billion at FY 2024 to $3,108.5 billion at FY 2025, and further to $3,195.5 billion as of Q1 2026. The liability growth rate has broadly tracked asset growth, maintaining a relatively stable leverage profile.</w:t>
      </w:r>
    </w:p>
    <w:p>
      <w:r>
        <w:rPr>
          <w:b w:val="0"/>
        </w:rPr>
        <w:t>Stockholders' equity has remained relatively stable, with $295.6 billion at Q1 2025, $303.2 billion at FY 2025, and $300.7 billion at Q1 2026. The slight decline from year-end 2025 to Q1 2026 may reflect dividend payments, share repurchases, or other comprehensive income adjustments during the quarter.</w:t>
      </w:r>
    </w:p>
    <w:p>
      <w:r>
        <w:rPr>
          <w:b w:val="0"/>
        </w:rPr>
        <w:t>The equity-to-assets ratio stood at approximately 8.6% as of Q1 2026 ($300.7 billion equity divided by $3,496.2 billion assets), compared to approximately 8.9% at FY 2025 ($303.2 billion divided by $3,411.7 billion). This slight compression warrants monitoring but remains within acceptable ranges for a large systemically important bank holding company.</w:t>
      </w:r>
    </w:p>
    <w:p>
      <w:r>
        <w:rPr>
          <w:b w:val="0"/>
        </w:rPr>
        <w:t>The liabilities-to-equity leverage ratio was approximately 10.6x as of Q1 2026 ($3,195.5 billion liabilities divided by $300.7 billion equity), compared to approximately 10.3x at FY 2025 ($3,108.5 billion divided by $303.2 billion). The modest increase in leverage reflects the balance sheet growth funded primarily through liabilities, which is typical for large banking institutions but requires ongoing monitoring.</w:t>
      </w:r>
    </w:p>
    <w:p>
      <w:pPr>
        <w:pStyle w:val="Heading1"/>
      </w:pPr>
      <w:r>
        <w:t>Liquidity Analysis</w:t>
      </w:r>
    </w:p>
    <w:p>
      <w:r>
        <w:rPr>
          <w:b w:val="0"/>
        </w:rPr>
        <w:t>The available cash and cash equivalents data is limited to historical periods from 2019 through Q3 2020, which significantly constrains our ability to assess BAC's current liquidity position. As of Q3 2020, BAC reported cash and cash equivalents of $301.0 billion, representing a substantial increase from the FY 2019 level of $161.6 billion, likely reflecting the significant deposit inflows and Federal Reserve liquidity support during the COVID-19 pandemic period.</w:t>
      </w:r>
    </w:p>
    <w:p>
      <w:r>
        <w:rPr>
          <w:b w:val="0"/>
        </w:rPr>
        <w:t>The historical data shows a rapid buildup in cash holdings: from $161.6 billion at FY 2019 to $250.4 billion at Q1 2020, $289.3 billion at Q2 2020, and $301.0 billion at Q3 2020. This 86% increase over the period reflects the extraordinary monetary policy environment and flight-to-safety deposit flows experienced during 2020.</w:t>
      </w:r>
    </w:p>
    <w:p>
      <w:r>
        <w:rPr>
          <w:b w:val="0"/>
        </w:rPr>
        <w:t>A critical limitation of this analysis is the absence of current cash and liquidity data. The most recent available cash figure is from Q3 2020, which is over five years old and does not reflect the subsequent monetary tightening cycle, quantitative tightening by the Federal Reserve, or changes in deposit composition that have occurred since then.</w:t>
      </w:r>
    </w:p>
    <w:p>
      <w:r>
        <w:rPr>
          <w:b w:val="0"/>
        </w:rPr>
        <w:t>For a comprehensive liquidity assessment, additional data would be required including: (1) current cash and equivalents position; (2) high-quality liquid assets (HQLA) composition; (3) liquidity coverage ratio (LCR) and net stable funding ratio (NSFR) metrics; (4) deposit composition and stability analysis; and (5) wholesale funding reliance. The credit team should request this additional data from BAC's treasury department or through regulatory filings before making final liquidity determinations.</w:t>
      </w:r>
    </w:p>
    <w:p>
      <w:r>
        <w:rPr>
          <w:b w:val="0"/>
        </w:rPr>
        <w:t>Despite the data limitations, the recent activity in capital markets as evidenced by multiple 424B2 prospectus filings in May 2026 suggests BAC has active access to debt capital markets, which is a positive indicator for funding flexibility and liquidity management.</w:t>
      </w:r>
    </w:p>
    <w:p>
      <w:pPr>
        <w:pStyle w:val="Heading1"/>
      </w:pPr>
      <w:r>
        <w:t>Credit Risk Factors</w:t>
      </w:r>
    </w:p>
    <w:p>
      <w:r>
        <w:rPr>
          <w:b w:val="0"/>
        </w:rPr>
        <w:t>Several key credit risk factors warrant monitoring in the context of BAC's credit facility. As a systemically important financial institution (SIFI), BAC faces heightened regulatory scrutiny including enhanced capital requirements, stress testing (CCAR/DFAST), and resolution planning obligations. These requirements can constrain capital deployment and create compliance costs that impact financial flexibility.</w:t>
      </w:r>
    </w:p>
    <w:p>
      <w:r>
        <w:rPr>
          <w:b w:val="0"/>
        </w:rPr>
        <w:t>Interest rate sensitivity represents a significant risk factor for BAC's net interest margin. The transition from a low-rate environment to the higher-rate environment of 2023-2026 has benefited net interest income but has also created unrealized losses on the investment portfolio and competitive pressure on deposit pricing. BAC's asset sensitivity profile requires ongoing monitoring as the Federal Reserve's monetary policy stance evolves.</w:t>
      </w:r>
    </w:p>
    <w:p>
      <w:r>
        <w:rPr>
          <w:b w:val="0"/>
        </w:rPr>
        <w:t>Asset quality risks, while not directly quantifiable from the current dataset, remain a key consideration. Commercial real estate (CRE) exposure, consumer credit normalization following the post-pandemic period, and potential deterioration in leveraged lending portfolios are areas that require attention. The credit team should review BAC's most recent quarterly filing for provision for credit losses and net charge-off data.</w:t>
      </w:r>
    </w:p>
    <w:p>
      <w:r>
        <w:rPr>
          <w:b w:val="0"/>
        </w:rPr>
        <w:t>The recent filing activity provides insight into BAC's capital markets engagement. Multiple 424B2 prospectus supplement filings in May 2026 indicate active issuance of securities, potentially including debt instruments, preferred stock, or structured products. While this demonstrates market access, the volume of filings may also reflect refinancing activity or capital management initiatives that warrant further investigation.</w:t>
      </w:r>
    </w:p>
    <w:p>
      <w:r>
        <w:rPr>
          <w:b w:val="0"/>
        </w:rPr>
        <w:t>Schedule 13G filings dated May 14, 2026 indicate changes in beneficial ownership positions exceeding 5% thresholds. These passive investment disclosures may reflect index fund rebalancing, institutional portfolio adjustments, or strategic positioning by large investors. While Schedule 13G filings are generally non-threatening compared to Schedule 13D activist filings, they should be monitored for any concentration of ownership that could influence corporate governance or strategic direction.</w:t>
      </w:r>
    </w:p>
    <w:p>
      <w:pPr>
        <w:pStyle w:val="Heading1"/>
      </w:pPr>
      <w:r>
        <w:t>Covenant and Structural Considerations</w:t>
      </w:r>
    </w:p>
    <w:p>
      <w:r>
        <w:rPr>
          <w:b w:val="0"/>
        </w:rPr>
        <w:t>Credit facilities extended to large bank holding companies like BAC typically include financial maintenance covenants focused on capital adequacy, leverage, and asset quality metrics. Key covenants to monitor include: (1) minimum Tier 1 capital ratio; (2) minimum total capital ratio; (3) maximum leverage ratio; (4) minimum liquidity coverage ratio; and (5) restrictions on dividend payments and share repurchases below specified capital thresholds.</w:t>
      </w:r>
    </w:p>
    <w:p>
      <w:r>
        <w:rPr>
          <w:b w:val="0"/>
        </w:rPr>
        <w:t>Based on the available financial data, BAC's equity-to-assets ratio of approximately 8.6% and the leverage ratio of 10.6x liabilities-to-equity are within the typical covenant compliance ranges for large bank holding companies. However, full covenant compliance assessment requires regulatory capital ratios (CET1, Tier 1, Total Capital) that are reported in regulatory filings rather than in the basic financial statements provided.</w:t>
      </w:r>
    </w:p>
    <w:p>
      <w:r>
        <w:rPr>
          <w:b w:val="0"/>
        </w:rPr>
        <w:t>The stable equity base of approximately $300 billion provides a substantial capital cushion. The slight decline in equity from $303.2 billion at FY 2025 to $300.7 billion at Q1 2026 should be evaluated in the context of capital return activity (dividends and buybacks) relative to retained earnings generation. With Q1 2026 net income of $8.6 billion, the equity base should be sustainable assuming continued profitability.</w:t>
      </w:r>
    </w:p>
    <w:p>
      <w:r>
        <w:rPr>
          <w:b w:val="0"/>
        </w:rPr>
        <w:t>Reporting covenants typically require BAC to provide quarterly and annual financial statements, regulatory capital reports, and compliance certificates within specified timeframes. The bank's active SEC filing schedule, including regular 10-K and 10-Q filings, suggests compliance with public reporting obligations, which generally satisfies the reporting requirements under credit facility agreements.</w:t>
      </w:r>
    </w:p>
    <w:p>
      <w:r>
        <w:rPr>
          <w:b w:val="0"/>
        </w:rPr>
        <w:t>The credit team should verify specific covenant thresholds by reviewing the actual credit agreement documentation and comparing against BAC's most recent regulatory filings (FR Y-9C, FFIEC 101) to confirm ongoing compliance.</w:t>
      </w:r>
    </w:p>
    <w:p>
      <w:pPr>
        <w:pStyle w:val="Heading1"/>
      </w:pPr>
      <w:r>
        <w:t>Recommendation and Outlook</w:t>
      </w:r>
    </w:p>
    <w:p>
      <w:r>
        <w:rPr>
          <w:b w:val="0"/>
        </w:rPr>
        <w:t>Based on the comprehensive analysis of Bank of America Corporation's financial performance, balance sheet strength, and credit risk profile, the recommendation is to MAINTAIN the current internal credit rating and RENEW the existing credit facility at current terms. BAC's financial fundamentals remain sound, with improving profitability trends and a stable capital base supporting the credit assessment.</w:t>
      </w:r>
    </w:p>
    <w:p>
      <w:r>
        <w:rPr>
          <w:b w:val="0"/>
        </w:rPr>
        <w:t>The primary supporting factors for this recommendation include: (1) strong and improving earnings performance with Q1 2026 net income of $8.6 billion representing 16.2% year-over-year growth; (2) a robust equity base of approximately $300.7 billion providing substantial loss-absorption capacity; (3) total assets of approximately $3.50 trillion demonstrating scale and market position; and (4) active capital markets access evidenced by recent filing activity.</w:t>
      </w:r>
    </w:p>
    <w:p>
      <w:r>
        <w:rPr>
          <w:b w:val="0"/>
        </w:rPr>
        <w:t>The forward-looking outlook is stable-to-positive. Revenue momentum appears intact with Q1 2026 revenues of $30.3 billion representing the strongest quarterly performance in the dataset. If BAC maintains this trajectory, FY 2026 revenues could approach $120 billion or higher, supporting continued earnings growth. The net income margin expansion to 28.4% in Q1 2026 from 27.0% in FY 2025 suggests operational improvements that could sustain profitability even in a moderating rate environment.</w:t>
      </w:r>
    </w:p>
    <w:p>
      <w:r>
        <w:rPr>
          <w:b w:val="0"/>
        </w:rPr>
        <w:t>Key conditions and monitoring items for the next review period include: (1) obtaining current cash and liquidity data to complete the liquidity assessment; (2) monitoring regulatory capital ratios for covenant compliance; (3) tracking asset quality trends including provision for credit losses and net charge-offs; (4) assessing the impact of Federal Reserve monetary policy decisions on net interest margin; and (5) reviewing the nature and purpose of recent 424B2 capital markets issuances.</w:t>
      </w:r>
    </w:p>
    <w:p>
      <w:r>
        <w:rPr>
          <w:b w:val="0"/>
        </w:rPr>
        <w:t>The credit facility should be renewed with standard terms and conditions. No covenant modifications are recommended at this time, though the credit team should ensure that the facility documentation includes appropriate reporting requirements for regulatory capital metrics and liquidity indicators. A mid-year check-in is recommended to review Q2 2026 results and any material developments.</w:t>
      </w:r>
    </w:p>
    <w:p/>
    <w:p>
      <w:r>
        <w:t>Prepared by: Senior Credit Analyst, Large Corporate Banking Division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