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Credit Memo - Deere &amp; Company</w:t>
      </w:r>
    </w:p>
    <w:p>
      <w:r>
        <w:rPr>
          <w:b/>
        </w:rPr>
        <w:t>TO:</w:t>
        <w:tab/>
      </w:r>
      <w:r>
        <w:t>Relationship Committee, Agribusiness &amp; Industrial Equipment Sector Coverage Group</w:t>
      </w:r>
    </w:p>
    <w:p>
      <w:r>
        <w:rPr>
          <w:b/>
        </w:rPr>
        <w:t>FROM:</w:t>
        <w:tab/>
      </w:r>
      <w:r>
        <w:t>Leveraged Finance Credit Analyst</w:t>
      </w:r>
    </w:p>
    <w:p>
      <w:r>
        <w:rPr>
          <w:b/>
        </w:rPr>
        <w:t>DATE:</w:t>
        <w:tab/>
      </w:r>
      <w:r>
        <w:t>May 2026</w:t>
      </w:r>
    </w:p>
    <w:p>
      <w:r>
        <w:rPr>
          <w:b/>
        </w:rPr>
        <w:t>RE:</w:t>
        <w:tab/>
      </w:r>
      <w:r>
        <w:t>Credit Assessment — Deere &amp; Company (NYSE: DE) — Revolving Credit Facility Renewal</w:t>
      </w:r>
    </w:p>
    <w:p>
      <w:r>
        <w:t>________________________________________________________________________________</w:t>
      </w:r>
    </w:p>
    <w:p>
      <w:pPr>
        <w:pStyle w:val="Heading1"/>
      </w:pPr>
      <w:r>
        <w:t>Executive Summary</w:t>
      </w:r>
    </w:p>
    <w:p>
      <w:r>
        <w:rPr>
          <w:b w:val="0"/>
        </w:rPr>
        <w:t>Deere &amp; Company (NYSE: DE) remains the world's dominant manufacturer of agricultural and construction equipment, supported by a diversified operating footprint spanning Production &amp; Precision Agriculture, Small Agriculture &amp; Turf, Construction &amp; Forestry, and Financial Services. The company generated $45.7 billion in revenue for FY2025, with Q1 FY2026 revenue of $9.6 billion representing a solid seasonal start to the new fiscal year.</w:t>
      </w:r>
    </w:p>
    <w:p>
      <w:r>
        <w:rPr>
          <w:b w:val="0"/>
        </w:rPr>
        <w:t>Profitability has moderated from peak-cycle levels, with operating income declining from $12.96 billion in FY2023 to $9.04 billion in FY2024, reflecting normalization in agricultural equipment demand. Q1 FY2026 net income of $656 million on $9.6 billion revenue yields a net margin of approximately 6.8%, below the FY2025 full-year net margin of 11.0%, consistent with Deere's typical first-quarter seasonal softness.</w:t>
      </w:r>
    </w:p>
    <w:p>
      <w:r>
        <w:rPr>
          <w:b w:val="0"/>
        </w:rPr>
        <w:t>The balance sheet remains conservatively managed. Total liabilities declined from $84.4 billion at FY2024 to $77.1 billion at Q1 FY2026, while stockholders' equity grew to $26.3 billion. The debt-to-equity ratio improved from approximately 2.9x at FY2025 to 2.9x at Q1 FY2026. Cash and equivalents stood at $6.8 billion at Q1 FY2026, providing substantial liquidity coverage relative to quarterly operating expenses.</w:t>
      </w:r>
    </w:p>
    <w:p>
      <w:r>
        <w:rPr>
          <w:b w:val="0"/>
        </w:rPr>
        <w:t>We recommend APPROVAL of the revolving credit facility renewal. Deere's market leadership, disciplined balance sheet management, robust R&amp;D investment ($2.3 billion in FY2025), and strong liquidity position support a Pass risk rating. Key monitoring items include the trajectory of agricultural equipment demand, commodity price exposure, and Financial Services credit quality.</w:t>
      </w:r>
    </w:p>
    <w:p>
      <w:pPr>
        <w:pStyle w:val="Heading1"/>
      </w:pPr>
      <w:r>
        <w:t>Company Overview</w:t>
      </w:r>
    </w:p>
    <w:p>
      <w:r>
        <w:rPr>
          <w:b w:val="0"/>
        </w:rPr>
        <w:t>Deere &amp; Company, headquartered in Moline, Illinois, is the world's largest manufacturer of agricultural equipment and a leading producer of construction and forestry machinery. Founded in 1837, the company has built an unmatched global brand through its iconic John Deere product line, serving farmers, ranchers, construction contractors, and forestry operators across more than 100 countries.</w:t>
      </w:r>
    </w:p>
    <w:p>
      <w:r>
        <w:rPr>
          <w:b w:val="0"/>
        </w:rPr>
        <w:t>Deere operates through four principal business segments. The Production &amp; Precision Agriculture segment serves large-scale farming operations with high-horsepower tractors, combines, and precision agriculture technology solutions. The Small Agriculture &amp; Turf segment addresses smaller farm operations, livestock producers, and residential/commercial turf customers. The Construction &amp; Forestry segment provides equipment for earthmoving, road-building, and timber harvesting applications.</w:t>
      </w:r>
    </w:p>
    <w:p>
      <w:r>
        <w:rPr>
          <w:b w:val="0"/>
        </w:rPr>
        <w:t>The Financial Services segment, primarily through John Deere Capital Corporation, provides retail and wholesale financing for equipment purchases, operating leases, and insurance products. This segment is a material component of Deere's business model and introduces credit risk considerations related to the financed equipment portfolio.</w:t>
      </w:r>
    </w:p>
    <w:p>
      <w:r>
        <w:rPr>
          <w:b w:val="0"/>
        </w:rPr>
        <w:t>Deere's competitive advantages include an extensive dealer network, industry-leading precision agriculture technology (autonomous and GPS-guided systems), and strong brand loyalty among agricultural customers. The company's sustained R&amp;D investment of $2.311 billion in FY2025, representing approximately 5.1% of revenue, underscores its commitment to technological innovation and market leadership.</w:t>
      </w:r>
    </w:p>
    <w:p>
      <w:pPr>
        <w:pStyle w:val="Heading1"/>
      </w:pPr>
      <w:r>
        <w:t>Profitability Analysis</w:t>
      </w:r>
    </w:p>
    <w:p>
      <w:r>
        <w:rPr>
          <w:b w:val="0"/>
        </w:rPr>
        <w:t>Deere's revenue performance reflects the cyclicality inherent in the agricultural and construction equipment markets. Full-year FY2025 revenue totaled $45.684 billion, representing a robust top-line performance. Q1 FY2026 revenue of $9.611 billion indicates a solid seasonal start, with the first fiscal quarter typically being the seasonally weakest period for agricultural equipment demand as farmers defer purchases ahead of spring planting.</w:t>
      </w:r>
    </w:p>
    <w:p>
      <w:r>
        <w:rPr>
          <w:b w:val="0"/>
        </w:rPr>
        <w:t>Operating income has declined from peak levels as the agricultural equipment cycle normalizes. FY2023 operating income of $12.958 billion represented a cycle peak, declining to $9.039 billion in FY2024. This approximately 30% decline reflects both volume normalization and margin compression as the industry moves past the extraordinary demand environment of 2021-2023 driven by elevated commodity prices and strong farm income.</w:t>
      </w:r>
    </w:p>
    <w:p>
      <w:r>
        <w:rPr>
          <w:b w:val="0"/>
        </w:rPr>
        <w:t>Net income for FY2025 totaled $5.027 billion, yielding a full-year net margin of approximately 11.0% ($5.027B / $45.684B). Q1 FY2026 net income of $656 million on $9.611 billion in revenue produces a net margin of 6.8%, which is below the annualized rate but consistent with Deere's historical first-quarter pattern where fixed cost absorption is lower due to reduced production volumes.</w:t>
      </w:r>
    </w:p>
    <w:p>
      <w:r>
        <w:rPr>
          <w:b w:val="0"/>
        </w:rPr>
        <w:t>R&amp;D expenditure of $2.311 billion in FY2025 represents approximately 5.1% of revenue, a meaningful commitment to innovation in precision agriculture, autonomous equipment, and sustainable technology. This investment level, sustained through the cycle, supports Deere's long-term competitive moat and positions the company for the next-generation agriculture technology transition.</w:t>
      </w:r>
    </w:p>
    <w:p>
      <w:r>
        <w:rPr>
          <w:b w:val="0"/>
        </w:rPr>
        <w:t>Diluted earnings per share were $18.50 for FY2025 and $2.42 for Q1 FY2026, reflecting the earnings patterns described above. SG&amp;A expenses of $4.663 billion in FY2025 (10.2% of revenue) and $972 million in Q1 FY2026 demonstrate disciplined cost management relative to the revenue base.</w:t>
      </w:r>
    </w:p>
    <w:p>
      <w:pPr>
        <w:pStyle w:val="Heading1"/>
      </w:pPr>
      <w:r>
        <w:t>Balance Sheet &amp; Leverage Analysis</w:t>
      </w:r>
    </w:p>
    <w:p>
      <w:r>
        <w:rPr>
          <w:b w:val="0"/>
        </w:rPr>
        <w:t>Deere's balance sheet reflects the asset-intensive nature of both its manufacturing operations and its Financial Services segment. Total assets at Q1 FY2026 stood at $103.436 billion, down from $105.996 billion at FY2025 year-end and $107.320 billion at FY2024 year-end. This declining asset base is a positive credit signal, indicating disciplined capital allocation and asset management.</w:t>
      </w:r>
    </w:p>
    <w:p>
      <w:r>
        <w:rPr>
          <w:b w:val="0"/>
        </w:rPr>
        <w:t>Total liabilities have declined steadily from $84.395 billion at FY2024 to $79.989 billion at FY2025 to $77.079 billion at Q1 FY2026, a reduction of approximately $7.3 billion over the trailing period. This deleveraging trend, occurring during a period of cyclical normalization, demonstrates management's commitment to balance sheet strength and financial flexibility.</w:t>
      </w:r>
    </w:p>
    <w:p>
      <w:r>
        <w:rPr>
          <w:b w:val="0"/>
        </w:rPr>
        <w:t>Stockholders' equity has grown from $22.836 billion at FY2024 to $25.950 billion at FY2025 and $26.300 billion at Q1 FY2026, an increase of approximately $3.5 billion or 15.2% over the period. The equity growth is driven by retained earnings exceeding shareholder returns, strengthening the company's loss-absorption capacity.</w:t>
      </w:r>
    </w:p>
    <w:p>
      <w:r>
        <w:rPr>
          <w:b w:val="0"/>
        </w:rPr>
        <w:t>The debt-to-equity ratio (total liabilities divided by stockholders' equity) was approximately 2.94x at FY2025 ($79.989B / $25.950B) and 2.93x at Q1 FY2026 ($77.079B / $26.300B). While these ratios appear elevated on an absolute basis, they are consistent with the capital structure requirements of Deere's Financial Services segment, which carries significant debt to fund its lending portfolio. The trend is favorable, improving from approximately 3.69x at FY2024 ($84.395B / $22.836B).</w:t>
      </w:r>
    </w:p>
    <w:p>
      <w:pPr>
        <w:pStyle w:val="Heading1"/>
      </w:pPr>
      <w:r>
        <w:t>Liquidity Assessment</w:t>
      </w:r>
    </w:p>
    <w:p>
      <w:r>
        <w:rPr>
          <w:b w:val="0"/>
        </w:rPr>
        <w:t>Cash and cash equivalents at Q1 FY2026 totaled $6.798 billion, down from $8.276 billion at FY2025 year-end. This $1.5 billion seasonal drawdown is consistent with Deere's typical first-quarter cash usage pattern, where working capital builds ahead of the spring selling season. The Q1 FY2026 cash balance remains substantial relative to the company's operating requirements.</w:t>
      </w:r>
    </w:p>
    <w:p>
      <w:r>
        <w:rPr>
          <w:b w:val="0"/>
        </w:rPr>
        <w:t>The quarterly cash position of $6.798 billion provides ample coverage for the company's near-term operating obligations. Q1 FY2026 combined SG&amp;A ($972 million) and R&amp;D ($554 million) expenses totaled $1.526 billion, indicating that cash on hand covers approximately 4.5 quarters of these discretionary operating expenses. This represents a highly comfortable liquidity cushion.</w:t>
      </w:r>
    </w:p>
    <w:p>
      <w:r>
        <w:rPr>
          <w:b w:val="0"/>
        </w:rPr>
        <w:t>Historical cash balances show a consistent pattern: $7.324 billion at FY2024, $8.276 billion at FY2025, with seasonal peaks around $8.6 billion (Q3 FY2025) and troughs around $6.6-6.8 billion in the fiscal first quarter. This predictable seasonal pattern, combined with strong cash generation capability, suggests minimal near-term liquidity risk.</w:t>
      </w:r>
    </w:p>
    <w:p>
      <w:r>
        <w:rPr>
          <w:b w:val="0"/>
        </w:rPr>
        <w:t>The Financial Services segment's funding model relies on capital markets access, including commercial paper, medium-term notes, and securitizations. Deere's investment-grade credit profile and strong cash position provide confidence in continued access to cost-effective funding for the financing operations.</w:t>
      </w:r>
    </w:p>
    <w:p>
      <w:pPr>
        <w:pStyle w:val="Heading1"/>
      </w:pPr>
      <w:r>
        <w:t>Risk Factors</w:t>
      </w:r>
    </w:p>
    <w:p>
      <w:r>
        <w:rPr>
          <w:b w:val="0"/>
        </w:rPr>
        <w:t>Cyclicality and Demand Sensitivity: The agricultural equipment market is highly cyclical, driven by farm income, commodity prices (corn, soybeans, wheat), and government agricultural policy. The decline in operating income from $12.958 billion in FY2023 to $9.039 billion in FY2024 illustrates the magnitude of earnings volatility through the cycle. A further deterioration in farm economics could compress margins beyond current levels.</w:t>
      </w:r>
    </w:p>
    <w:p>
      <w:r>
        <w:rPr>
          <w:b w:val="0"/>
        </w:rPr>
        <w:t>Commodity and Input Cost Exposure: Deere faces exposure to steel, aluminum, electronic components, and other raw material costs. In a rising input cost environment with softening end-market demand, margin compression could accelerate. The company's ability to pass through cost increases is constrained by competitive dynamics and customer affordability.</w:t>
      </w:r>
    </w:p>
    <w:p>
      <w:r>
        <w:rPr>
          <w:b w:val="0"/>
        </w:rPr>
        <w:t>Financial Services Credit Risk: The Financial Services segment carries a substantial portfolio of equipment loans and leases. In a cyclical downturn, delinquencies and charge-offs on agricultural and construction equipment financing could increase materially. Used equipment values, which serve as collateral, are sensitive to fleet age and market conditions.</w:t>
      </w:r>
    </w:p>
    <w:p>
      <w:r>
        <w:rPr>
          <w:b w:val="0"/>
        </w:rPr>
        <w:t>Geopolitical and Trade Risk: As a global manufacturer with significant international sales, Deere is exposed to trade policy changes, tariffs, and geopolitical disruptions. Regulatory changes affecting agricultural subsidies or environmental policy could impact demand patterns across key markets.</w:t>
      </w:r>
    </w:p>
    <w:p>
      <w:r>
        <w:rPr>
          <w:b w:val="0"/>
        </w:rPr>
        <w:t>Technology Transition Risk: While Deere's $2.311 billion annual R&amp;D investment supports its technology leadership, the transition to autonomous and precision agriculture requires sustained capital deployment with uncertain return timelines. Competitive threats from both traditional equipment rivals and technology-driven new entrants represent a medium-term risk factor.</w:t>
      </w:r>
    </w:p>
    <w:p>
      <w:pPr>
        <w:pStyle w:val="Heading1"/>
      </w:pPr>
      <w:r>
        <w:t>Credit Opinion &amp; Recommendation</w:t>
      </w:r>
    </w:p>
    <w:p>
      <w:r>
        <w:rPr>
          <w:b w:val="0"/>
        </w:rPr>
        <w:t>Based on our analysis, we assign Deere &amp; Company an internal risk rating of PASS. The company's dominant market position, conservative balance sheet management, declining leverage trajectory, and robust liquidity position support continued extension of credit facilities.</w:t>
      </w:r>
    </w:p>
    <w:p>
      <w:r>
        <w:rPr>
          <w:b w:val="0"/>
        </w:rPr>
        <w:t>Key credit strengths include: (1) Market leadership in agricultural and construction equipment with an unmatched global dealer network; (2) Consistent deleveraging with liabilities declining from $84.4B to $77.1B over the trailing five quarters; (3) Strong cash position of $6.8 billion providing substantial liquidity buffer; (4) Sustained R&amp;D investment of $2.3 billion annually supporting long-term competitive positioning; and (5) Equity growth of 15.2% over the trailing period strengthening loss-absorption capacity.</w:t>
      </w:r>
    </w:p>
    <w:p>
      <w:r>
        <w:rPr>
          <w:b w:val="0"/>
        </w:rPr>
        <w:t>Key monitoring items for the relationship committee include: (1) Agricultural equipment order trends and dealer inventory levels; (2) Farm income and commodity price developments; (3) Financial Services segment delinquency and charge-off rates; (4) Capital expenditure and shareholder return policies through the cycle; and (5) Competitive dynamics in precision agriculture technology.</w:t>
      </w:r>
    </w:p>
    <w:p>
      <w:r>
        <w:rPr>
          <w:b w:val="0"/>
        </w:rPr>
        <w:t>We recommend APPROVAL of the revolving credit facility renewal with standard covenants and annual financial covenants testing. No additional credit enhancements or structural protections are required at this time given the company's strong fundamental profile.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